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72F63F">
      <w:pPr>
        <w:pStyle w:val="95"/>
      </w:pPr>
      <w:r>
        <w:rPr>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24ADAB6F">
      <w:pPr>
        <w:ind w:right="280"/>
        <w:jc w:val="center"/>
        <w:rPr>
          <w:rFonts w:ascii="宋体" w:hAnsi="宋体"/>
          <w:sz w:val="48"/>
          <w:szCs w:val="48"/>
        </w:rPr>
      </w:pPr>
    </w:p>
    <w:p w14:paraId="1C77BB55">
      <w:pPr>
        <w:ind w:right="280"/>
        <w:jc w:val="center"/>
        <w:rPr>
          <w:rFonts w:ascii="宋体" w:hAnsi="宋体"/>
          <w:sz w:val="48"/>
          <w:szCs w:val="48"/>
        </w:rPr>
      </w:pPr>
    </w:p>
    <w:p w14:paraId="04EBCE54">
      <w:pPr>
        <w:ind w:right="280"/>
        <w:jc w:val="center"/>
        <w:rPr>
          <w:rFonts w:ascii="宋体" w:hAnsi="宋体"/>
          <w:sz w:val="48"/>
          <w:szCs w:val="48"/>
        </w:rPr>
      </w:pPr>
    </w:p>
    <w:p w14:paraId="7B80F4AC">
      <w:pPr>
        <w:ind w:right="280"/>
        <w:jc w:val="center"/>
        <w:rPr>
          <w:rFonts w:ascii="宋体" w:hAnsi="宋体"/>
          <w:sz w:val="48"/>
          <w:szCs w:val="48"/>
        </w:rPr>
      </w:pPr>
    </w:p>
    <w:p w14:paraId="643F1340">
      <w:pPr>
        <w:ind w:right="280"/>
        <w:jc w:val="center"/>
        <w:rPr>
          <w:rFonts w:ascii="楷体_GB2312" w:hAnsi="宋体" w:eastAsia="楷体_GB2312"/>
          <w:sz w:val="52"/>
          <w:szCs w:val="52"/>
        </w:rPr>
      </w:pPr>
    </w:p>
    <w:p w14:paraId="4A85306E">
      <w:pPr>
        <w:ind w:right="280"/>
        <w:jc w:val="center"/>
        <w:rPr>
          <w:rFonts w:ascii="楷体_GB2312" w:hAnsi="宋体" w:eastAsia="楷体_GB2312"/>
          <w:sz w:val="52"/>
          <w:szCs w:val="52"/>
        </w:rPr>
      </w:pPr>
      <w:r>
        <w:rPr>
          <w:rFonts w:ascii="楷体_GB2312" w:hAnsi="宋体" w:eastAsia="楷体_GB2312"/>
          <w:sz w:val="52"/>
          <w:szCs w:val="52"/>
        </w:rPr>
        <w:t>E3.Series软件增购</w:t>
      </w:r>
      <w:r>
        <w:rPr>
          <w:rFonts w:hint="eastAsia" w:ascii="楷体_GB2312" w:hAnsi="宋体" w:eastAsia="楷体_GB2312"/>
          <w:sz w:val="52"/>
          <w:szCs w:val="52"/>
        </w:rPr>
        <w:t>项目</w:t>
      </w:r>
    </w:p>
    <w:p w14:paraId="41F1AABD">
      <w:pPr>
        <w:ind w:right="280"/>
        <w:jc w:val="center"/>
        <w:rPr>
          <w:sz w:val="28"/>
          <w:szCs w:val="28"/>
        </w:rPr>
      </w:pPr>
    </w:p>
    <w:p w14:paraId="405BE6D1">
      <w:pPr>
        <w:ind w:right="280"/>
        <w:jc w:val="center"/>
        <w:rPr>
          <w:sz w:val="28"/>
          <w:szCs w:val="28"/>
        </w:rPr>
      </w:pPr>
    </w:p>
    <w:p w14:paraId="324AD22E">
      <w:pPr>
        <w:jc w:val="center"/>
        <w:rPr>
          <w:rFonts w:ascii="宋体" w:hAnsi="宋体" w:cs="宋体"/>
          <w:sz w:val="72"/>
          <w:szCs w:val="72"/>
        </w:rPr>
      </w:pPr>
      <w:r>
        <w:rPr>
          <w:rFonts w:hint="eastAsia" w:ascii="宋体" w:hAnsi="宋体" w:cs="宋体"/>
          <w:sz w:val="72"/>
          <w:szCs w:val="72"/>
        </w:rPr>
        <w:t>招标文件</w:t>
      </w:r>
    </w:p>
    <w:p w14:paraId="69A08460">
      <w:pPr>
        <w:jc w:val="center"/>
        <w:rPr>
          <w:rFonts w:ascii="宋体" w:hAnsi="宋体"/>
          <w:sz w:val="48"/>
          <w:szCs w:val="48"/>
        </w:rPr>
      </w:pPr>
    </w:p>
    <w:p w14:paraId="1884AC6F">
      <w:pPr>
        <w:jc w:val="center"/>
        <w:rPr>
          <w:rFonts w:ascii="宋体" w:hAnsi="宋体"/>
          <w:sz w:val="48"/>
          <w:szCs w:val="48"/>
        </w:rPr>
      </w:pPr>
    </w:p>
    <w:p w14:paraId="074B1FF6">
      <w:pPr>
        <w:widowControl/>
        <w:spacing w:line="360" w:lineRule="auto"/>
        <w:jc w:val="center"/>
        <w:rPr>
          <w:rFonts w:ascii="宋体" w:hAnsi="宋体" w:cs="宋体"/>
          <w:b/>
          <w:bCs/>
          <w:kern w:val="0"/>
          <w:sz w:val="32"/>
          <w:szCs w:val="32"/>
          <w:u w:val="single"/>
        </w:rPr>
      </w:pPr>
      <w:r>
        <w:rPr>
          <w:rFonts w:hint="eastAsia" w:ascii="宋体" w:hAnsi="宋体" w:cs="宋体"/>
          <w:b/>
          <w:bCs/>
          <w:kern w:val="0"/>
          <w:sz w:val="32"/>
          <w:szCs w:val="32"/>
        </w:rPr>
        <w:t>项目编号：ZBGL</w:t>
      </w:r>
      <w:r>
        <w:rPr>
          <w:rFonts w:ascii="宋体" w:hAnsi="宋体" w:cs="宋体"/>
          <w:b/>
          <w:bCs/>
          <w:kern w:val="0"/>
          <w:sz w:val="32"/>
          <w:szCs w:val="32"/>
        </w:rPr>
        <w:t>2026100040</w:t>
      </w:r>
    </w:p>
    <w:p w14:paraId="6AC18191">
      <w:pPr>
        <w:jc w:val="center"/>
        <w:rPr>
          <w:rFonts w:ascii="宋体" w:hAnsi="宋体"/>
          <w:sz w:val="48"/>
          <w:szCs w:val="48"/>
        </w:rPr>
      </w:pPr>
    </w:p>
    <w:p w14:paraId="73014A59">
      <w:pPr>
        <w:jc w:val="center"/>
        <w:rPr>
          <w:rFonts w:ascii="宋体" w:hAnsi="宋体"/>
          <w:sz w:val="48"/>
          <w:szCs w:val="48"/>
        </w:rPr>
      </w:pPr>
    </w:p>
    <w:p w14:paraId="724A41D6">
      <w:pPr>
        <w:jc w:val="center"/>
        <w:rPr>
          <w:rFonts w:ascii="宋体" w:hAnsi="宋体"/>
          <w:sz w:val="28"/>
          <w:szCs w:val="28"/>
        </w:rPr>
      </w:pPr>
    </w:p>
    <w:p w14:paraId="77AD73AC">
      <w:pPr>
        <w:jc w:val="center"/>
        <w:rPr>
          <w:rFonts w:ascii="宋体" w:hAnsi="宋体"/>
          <w:sz w:val="28"/>
          <w:szCs w:val="28"/>
        </w:rPr>
      </w:pPr>
    </w:p>
    <w:p w14:paraId="02C5E9EA">
      <w:pPr>
        <w:jc w:val="center"/>
        <w:rPr>
          <w:rFonts w:ascii="宋体" w:hAnsi="宋体"/>
          <w:sz w:val="28"/>
          <w:szCs w:val="28"/>
        </w:rPr>
      </w:pPr>
      <w:r>
        <w:rPr>
          <w:rFonts w:hint="eastAsia" w:ascii="宋体" w:hAnsi="宋体"/>
          <w:sz w:val="28"/>
          <w:szCs w:val="28"/>
        </w:rPr>
        <w:t>招 标 人：中国重汽集团</w:t>
      </w:r>
      <w:r>
        <w:rPr>
          <w:rFonts w:hint="eastAsia" w:ascii="宋体" w:hAnsi="宋体"/>
          <w:color w:val="000000"/>
          <w:sz w:val="28"/>
          <w:szCs w:val="28"/>
        </w:rPr>
        <w:t>济南动力</w:t>
      </w:r>
      <w:r>
        <w:rPr>
          <w:rFonts w:hint="eastAsia" w:ascii="宋体" w:hAnsi="宋体"/>
          <w:sz w:val="28"/>
          <w:szCs w:val="28"/>
        </w:rPr>
        <w:t>有限公司</w:t>
      </w:r>
    </w:p>
    <w:p w14:paraId="2F8CF880">
      <w:pPr>
        <w:jc w:val="center"/>
        <w:rPr>
          <w:rFonts w:ascii="宋体" w:hAnsi="宋体"/>
          <w:sz w:val="28"/>
          <w:szCs w:val="28"/>
        </w:rPr>
      </w:pPr>
    </w:p>
    <w:p w14:paraId="1ABB13D9">
      <w:pPr>
        <w:jc w:val="center"/>
        <w:rPr>
          <w:rFonts w:ascii="宋体" w:hAnsi="宋体"/>
          <w:sz w:val="28"/>
          <w:szCs w:val="28"/>
          <w:u w:val="single"/>
        </w:rPr>
      </w:pPr>
      <w:r>
        <w:rPr>
          <w:rFonts w:hint="eastAsia" w:ascii="宋体" w:hAnsi="宋体"/>
          <w:sz w:val="28"/>
          <w:szCs w:val="28"/>
          <w:u w:val="single"/>
        </w:rPr>
        <w:t>20</w:t>
      </w:r>
      <w:r>
        <w:rPr>
          <w:rFonts w:ascii="宋体" w:hAnsi="宋体"/>
          <w:sz w:val="28"/>
          <w:szCs w:val="28"/>
          <w:u w:val="single"/>
        </w:rPr>
        <w:t>26</w:t>
      </w:r>
      <w:r>
        <w:rPr>
          <w:rFonts w:hint="eastAsia" w:ascii="宋体" w:hAnsi="宋体"/>
          <w:sz w:val="28"/>
          <w:szCs w:val="28"/>
          <w:u w:val="single"/>
        </w:rPr>
        <w:t>年</w:t>
      </w:r>
      <w:r>
        <w:rPr>
          <w:rFonts w:ascii="宋体" w:hAnsi="宋体"/>
          <w:sz w:val="28"/>
          <w:szCs w:val="28"/>
          <w:u w:val="single"/>
        </w:rPr>
        <w:t>10</w:t>
      </w:r>
      <w:r>
        <w:rPr>
          <w:rFonts w:hint="eastAsia" w:ascii="宋体" w:hAnsi="宋体"/>
          <w:sz w:val="28"/>
          <w:szCs w:val="28"/>
          <w:u w:val="single"/>
        </w:rPr>
        <w:t>月</w:t>
      </w:r>
    </w:p>
    <w:p w14:paraId="56A00046">
      <w:pPr>
        <w:spacing w:line="480" w:lineRule="auto"/>
        <w:jc w:val="center"/>
        <w:rPr>
          <w:rFonts w:ascii="宋体" w:hAnsi="宋体"/>
          <w:b/>
          <w:bCs/>
          <w:sz w:val="48"/>
          <w:szCs w:val="48"/>
        </w:rPr>
      </w:pPr>
    </w:p>
    <w:p w14:paraId="731F8900">
      <w:pPr>
        <w:spacing w:line="480" w:lineRule="auto"/>
        <w:jc w:val="center"/>
        <w:rPr>
          <w:rFonts w:ascii="宋体" w:hAnsi="宋体"/>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b/>
          <w:caps/>
          <w:color w:val="auto"/>
          <w:kern w:val="2"/>
          <w:sz w:val="21"/>
          <w:szCs w:val="20"/>
          <w:lang w:val="zh-CN"/>
        </w:rPr>
        <w:id w:val="-629018532"/>
        <w:docPartObj>
          <w:docPartGallery w:val="Table of Contents"/>
          <w:docPartUnique/>
        </w:docPartObj>
      </w:sdtPr>
      <w:sdtEndPr>
        <w:rPr>
          <w:rFonts w:ascii="Times New Roman" w:hAnsi="Times New Roman" w:eastAsia="宋体" w:cs="Times New Roman"/>
          <w:b/>
          <w:bCs/>
          <w:caps/>
          <w:color w:val="auto"/>
          <w:kern w:val="2"/>
          <w:sz w:val="21"/>
          <w:szCs w:val="20"/>
          <w:lang w:val="zh-CN"/>
        </w:rPr>
      </w:sdtEndPr>
      <w:sdtContent>
        <w:p w14:paraId="5461B5CF">
          <w:pPr>
            <w:pStyle w:val="69"/>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39B7EB1E">
          <w:pPr>
            <w:pStyle w:val="21"/>
            <w:tabs>
              <w:tab w:val="right" w:leader="middleDot" w:pos="9070"/>
              <w:tab w:val="clear" w:pos="8729"/>
            </w:tabs>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"_Toc7104" </w:instrText>
          </w:r>
          <w:r>
            <w:fldChar w:fldCharType="separate"/>
          </w:r>
          <w:r>
            <w:rPr>
              <w:rFonts w:hint="eastAsia"/>
            </w:rPr>
            <w:t>招标公告（适用于公开招标）</w:t>
          </w:r>
          <w:r>
            <w:tab/>
          </w:r>
          <w:r>
            <w:fldChar w:fldCharType="begin"/>
          </w:r>
          <w:r>
            <w:instrText xml:space="preserve"> PAGEREF _Toc7104 \h </w:instrText>
          </w:r>
          <w:r>
            <w:fldChar w:fldCharType="separate"/>
          </w:r>
          <w:r>
            <w:t>- 1 -</w:t>
          </w:r>
          <w:r>
            <w:fldChar w:fldCharType="end"/>
          </w:r>
          <w:r>
            <w:fldChar w:fldCharType="end"/>
          </w:r>
        </w:p>
        <w:p w14:paraId="7560B9B1">
          <w:pPr>
            <w:pStyle w:val="21"/>
            <w:tabs>
              <w:tab w:val="right" w:leader="middleDot" w:pos="9070"/>
              <w:tab w:val="clear" w:pos="8729"/>
            </w:tabs>
          </w:pPr>
          <w:r>
            <w:fldChar w:fldCharType="begin"/>
          </w:r>
          <w:r>
            <w:instrText xml:space="preserve"> HYPERLINK \l "_Toc7753" </w:instrText>
          </w:r>
          <w:r>
            <w:fldChar w:fldCharType="separate"/>
          </w:r>
          <w:r>
            <w:rPr>
              <w:rFonts w:hint="eastAsia"/>
            </w:rPr>
            <w:t>第一部分  投标人须知</w:t>
          </w:r>
          <w:r>
            <w:tab/>
          </w:r>
          <w:r>
            <w:fldChar w:fldCharType="begin"/>
          </w:r>
          <w:r>
            <w:instrText xml:space="preserve"> PAGEREF _Toc7753 \h </w:instrText>
          </w:r>
          <w:r>
            <w:fldChar w:fldCharType="separate"/>
          </w:r>
          <w:r>
            <w:t>- 2 -</w:t>
          </w:r>
          <w:r>
            <w:fldChar w:fldCharType="end"/>
          </w:r>
          <w:r>
            <w:fldChar w:fldCharType="end"/>
          </w:r>
        </w:p>
        <w:p w14:paraId="4F4A4D89">
          <w:pPr>
            <w:pStyle w:val="21"/>
            <w:tabs>
              <w:tab w:val="right" w:leader="middleDot" w:pos="9070"/>
              <w:tab w:val="clear" w:pos="8729"/>
            </w:tabs>
          </w:pPr>
          <w:r>
            <w:fldChar w:fldCharType="begin"/>
          </w:r>
          <w:r>
            <w:instrText xml:space="preserve"> HYPERLINK \l "_Toc1910" </w:instrText>
          </w:r>
          <w:r>
            <w:fldChar w:fldCharType="separate"/>
          </w:r>
          <w:r>
            <w:rPr>
              <w:rFonts w:hint="eastAsia"/>
            </w:rPr>
            <w:t>第二部分　技术标书</w:t>
          </w:r>
          <w:r>
            <w:tab/>
          </w:r>
          <w:r>
            <w:fldChar w:fldCharType="begin"/>
          </w:r>
          <w:r>
            <w:instrText xml:space="preserve"> PAGEREF _Toc1910 \h </w:instrText>
          </w:r>
          <w:r>
            <w:fldChar w:fldCharType="separate"/>
          </w:r>
          <w:r>
            <w:t>- 8 -</w:t>
          </w:r>
          <w:r>
            <w:fldChar w:fldCharType="end"/>
          </w:r>
          <w:r>
            <w:fldChar w:fldCharType="end"/>
          </w:r>
        </w:p>
        <w:p w14:paraId="61839C35">
          <w:pPr>
            <w:pStyle w:val="21"/>
            <w:tabs>
              <w:tab w:val="right" w:leader="middleDot" w:pos="9070"/>
              <w:tab w:val="clear" w:pos="8729"/>
            </w:tabs>
          </w:pPr>
          <w:r>
            <w:fldChar w:fldCharType="begin"/>
          </w:r>
          <w:r>
            <w:instrText xml:space="preserve"> HYPERLINK \l "_Toc20595" </w:instrText>
          </w:r>
          <w:r>
            <w:fldChar w:fldCharType="separate"/>
          </w:r>
          <w:r>
            <w:rPr>
              <w:rFonts w:hint="eastAsia"/>
            </w:rPr>
            <w:t>第三部分　合同主要条款</w:t>
          </w:r>
          <w:r>
            <w:tab/>
          </w:r>
          <w:r>
            <w:fldChar w:fldCharType="begin"/>
          </w:r>
          <w:r>
            <w:instrText xml:space="preserve"> PAGEREF _Toc20595 \h </w:instrText>
          </w:r>
          <w:r>
            <w:fldChar w:fldCharType="separate"/>
          </w:r>
          <w:r>
            <w:t>- 8 -</w:t>
          </w:r>
          <w:r>
            <w:fldChar w:fldCharType="end"/>
          </w:r>
          <w:r>
            <w:fldChar w:fldCharType="end"/>
          </w:r>
        </w:p>
        <w:p w14:paraId="4FBEA483">
          <w:pPr>
            <w:pStyle w:val="21"/>
            <w:tabs>
              <w:tab w:val="right" w:leader="middleDot" w:pos="9070"/>
              <w:tab w:val="clear" w:pos="8729"/>
            </w:tabs>
          </w:pPr>
          <w:r>
            <w:fldChar w:fldCharType="begin"/>
          </w:r>
          <w:r>
            <w:instrText xml:space="preserve"> HYPERLINK \l "_Toc5925" </w:instrText>
          </w:r>
          <w:r>
            <w:fldChar w:fldCharType="separate"/>
          </w:r>
          <w:r>
            <w:rPr>
              <w:rFonts w:hint="eastAsia"/>
            </w:rPr>
            <w:t>第四部分　投标文件附件</w:t>
          </w:r>
          <w:r>
            <w:tab/>
          </w:r>
          <w:r>
            <w:fldChar w:fldCharType="begin"/>
          </w:r>
          <w:r>
            <w:instrText xml:space="preserve"> PAGEREF _Toc5925 \h </w:instrText>
          </w:r>
          <w:r>
            <w:fldChar w:fldCharType="separate"/>
          </w:r>
          <w:r>
            <w:t>- 9 -</w:t>
          </w:r>
          <w:r>
            <w:fldChar w:fldCharType="end"/>
          </w:r>
          <w:r>
            <w:fldChar w:fldCharType="end"/>
          </w:r>
        </w:p>
        <w:p w14:paraId="2F5E4A28">
          <w:pPr>
            <w:pStyle w:val="21"/>
          </w:pPr>
          <w:r>
            <w:rPr>
              <w:rFonts w:hint="eastAsia" w:ascii="Calibri" w:hAnsi="Calibri"/>
              <w:bCs/>
              <w:kern w:val="44"/>
              <w:szCs w:val="44"/>
            </w:rPr>
            <w:fldChar w:fldCharType="end"/>
          </w:r>
        </w:p>
      </w:sdtContent>
    </w:sdt>
    <w:p w14:paraId="07AB45A4">
      <w:pPr>
        <w:pStyle w:val="15"/>
        <w:tabs>
          <w:tab w:val="left" w:pos="2940"/>
        </w:tabs>
        <w:spacing w:line="360" w:lineRule="auto"/>
      </w:pPr>
      <w:r>
        <w:tab/>
      </w:r>
    </w:p>
    <w:p w14:paraId="2B2E5AC8">
      <w:pPr>
        <w:pStyle w:val="15"/>
        <w:spacing w:line="360" w:lineRule="auto"/>
        <w:jc w:val="center"/>
      </w:pPr>
    </w:p>
    <w:p w14:paraId="70ACC2FA">
      <w:pPr>
        <w:pStyle w:val="15"/>
        <w:spacing w:line="360" w:lineRule="auto"/>
        <w:sectPr>
          <w:pgSz w:w="11906" w:h="16838"/>
          <w:pgMar w:top="1701" w:right="1418" w:bottom="1134" w:left="1418" w:header="851" w:footer="992" w:gutter="0"/>
          <w:pgNumType w:fmt="numberInDash" w:start="1"/>
          <w:cols w:space="720" w:num="1"/>
          <w:titlePg/>
          <w:docGrid w:type="lines" w:linePitch="312" w:charSpace="0"/>
        </w:sectPr>
      </w:pPr>
    </w:p>
    <w:p w14:paraId="77E852CC">
      <w:pPr>
        <w:pStyle w:val="77"/>
      </w:pPr>
    </w:p>
    <w:p w14:paraId="10620A63">
      <w:pPr>
        <w:pStyle w:val="72"/>
      </w:pPr>
      <w:bookmarkStart w:id="0" w:name="_Toc47976595"/>
      <w:bookmarkStart w:id="1" w:name="_Toc7753"/>
      <w:r>
        <w:rPr>
          <w:rFonts w:hint="eastAsia"/>
        </w:rPr>
        <w:t>第一部分  投标人须知</w:t>
      </w:r>
      <w:bookmarkEnd w:id="0"/>
      <w:bookmarkEnd w:id="1"/>
    </w:p>
    <w:p w14:paraId="7B84DE72">
      <w:pPr>
        <w:pStyle w:val="73"/>
        <w:numPr>
          <w:ilvl w:val="0"/>
          <w:numId w:val="9"/>
        </w:numPr>
        <w:ind w:left="420"/>
        <w:jc w:val="left"/>
      </w:pPr>
      <w:bookmarkStart w:id="2" w:name="_Toc47976596"/>
      <w:r>
        <w:rPr>
          <w:rFonts w:hint="eastAsia"/>
        </w:rPr>
        <w:t>项目介绍</w:t>
      </w:r>
      <w:bookmarkEnd w:id="2"/>
    </w:p>
    <w:p w14:paraId="3BC6A2CE">
      <w:pPr>
        <w:pStyle w:val="77"/>
        <w:numPr>
          <w:ilvl w:val="0"/>
          <w:numId w:val="10"/>
        </w:numPr>
      </w:pPr>
      <w:r>
        <w:rPr>
          <w:rFonts w:hint="eastAsia"/>
        </w:rPr>
        <w:t>项目名称：E3.Series软件增购项目</w:t>
      </w:r>
    </w:p>
    <w:p w14:paraId="374CF1AE">
      <w:pPr>
        <w:pStyle w:val="77"/>
        <w:numPr>
          <w:ilvl w:val="0"/>
          <w:numId w:val="10"/>
        </w:numPr>
      </w:pPr>
      <w:r>
        <w:rPr>
          <w:rFonts w:hint="eastAsia"/>
        </w:rPr>
        <w:t>项目编号：ZBGL2026100040</w:t>
      </w:r>
    </w:p>
    <w:p w14:paraId="0DE7CCAE">
      <w:pPr>
        <w:pStyle w:val="77"/>
        <w:numPr>
          <w:ilvl w:val="0"/>
          <w:numId w:val="10"/>
        </w:numPr>
      </w:pPr>
      <w:r>
        <w:rPr>
          <w:rFonts w:hint="eastAsia"/>
        </w:rPr>
        <w:t>招标形式：</w:t>
      </w:r>
      <w:bookmarkStart w:id="3" w:name="_Toc47112482"/>
      <w:r>
        <w:rPr>
          <w:rFonts w:hint="eastAsia"/>
        </w:rPr>
        <w:t>公开招标</w:t>
      </w:r>
    </w:p>
    <w:p w14:paraId="1D4364FE">
      <w:pPr>
        <w:pStyle w:val="77"/>
        <w:numPr>
          <w:ilvl w:val="0"/>
          <w:numId w:val="10"/>
        </w:numPr>
      </w:pPr>
      <w:r>
        <w:rPr>
          <w:rFonts w:hint="eastAsia"/>
        </w:rPr>
        <w:t>项目概况：E3.cable电气原理图设计License 9个、E3.Formboard线束钉板图设计License 9个、E3与PDM系统集成1套。本项目预算金额299.816万元（含税）</w:t>
      </w:r>
    </w:p>
    <w:p w14:paraId="6041A622">
      <w:pPr>
        <w:pStyle w:val="77"/>
        <w:numPr>
          <w:ilvl w:val="0"/>
          <w:numId w:val="10"/>
        </w:numPr>
      </w:pPr>
      <w:r>
        <w:rPr>
          <w:rFonts w:hint="eastAsia"/>
        </w:rPr>
        <w:t>招标内容具体要求详见《技术标书》。</w:t>
      </w:r>
    </w:p>
    <w:p w14:paraId="58812C06">
      <w:pPr>
        <w:pStyle w:val="77"/>
        <w:numPr>
          <w:ilvl w:val="0"/>
          <w:numId w:val="10"/>
        </w:numPr>
      </w:pPr>
      <w:r>
        <w:rPr>
          <w:rFonts w:hint="eastAsia"/>
        </w:rPr>
        <w:t>报价：299.816万元（含税）税率1</w:t>
      </w:r>
      <w:r>
        <w:t>3%</w:t>
      </w:r>
    </w:p>
    <w:p w14:paraId="26794E8A">
      <w:pPr>
        <w:pStyle w:val="77"/>
        <w:numPr>
          <w:ilvl w:val="0"/>
          <w:numId w:val="10"/>
        </w:numPr>
      </w:pPr>
      <w:r>
        <w:rPr>
          <w:rFonts w:hint="eastAsia"/>
        </w:rPr>
        <w:t>招标人信息：</w:t>
      </w:r>
    </w:p>
    <w:p w14:paraId="37664551">
      <w:pPr>
        <w:pStyle w:val="77"/>
        <w:ind w:left="425"/>
        <w:rPr>
          <w:b w:val="0"/>
          <w:bCs w:val="0"/>
          <w:color w:val="auto"/>
          <w:highlight w:val="none"/>
        </w:rPr>
      </w:pPr>
      <w:r>
        <w:rPr>
          <w:rFonts w:hint="eastAsia"/>
          <w:b w:val="0"/>
          <w:bCs w:val="0"/>
          <w:color w:val="auto"/>
          <w:highlight w:val="none"/>
        </w:rPr>
        <w:t>招标人名称：中国重汽集团济南动力有限公司</w:t>
      </w:r>
    </w:p>
    <w:p w14:paraId="7227E72F">
      <w:pPr>
        <w:pStyle w:val="77"/>
        <w:ind w:left="425"/>
        <w:rPr>
          <w:b w:val="0"/>
          <w:bCs w:val="0"/>
          <w:color w:val="auto"/>
          <w:highlight w:val="none"/>
        </w:rPr>
      </w:pPr>
      <w:r>
        <w:rPr>
          <w:rFonts w:hint="eastAsia"/>
          <w:b w:val="0"/>
          <w:bCs w:val="0"/>
          <w:color w:val="auto"/>
          <w:highlight w:val="none"/>
        </w:rPr>
        <w:t>地址：</w:t>
      </w:r>
      <w:r>
        <w:rPr>
          <w:rFonts w:hint="eastAsia" w:hAnsi="宋体" w:cs="宋体"/>
          <w:b w:val="0"/>
          <w:bCs w:val="0"/>
          <w:color w:val="auto"/>
          <w:szCs w:val="21"/>
          <w:highlight w:val="none"/>
        </w:rPr>
        <w:t>济南市高新区华奥路777号中国重汽未来科技大厦</w:t>
      </w:r>
    </w:p>
    <w:p w14:paraId="50618030">
      <w:pPr>
        <w:pStyle w:val="77"/>
        <w:ind w:left="425"/>
        <w:rPr>
          <w:rFonts w:hint="eastAsia"/>
          <w:b w:val="0"/>
          <w:bCs w:val="0"/>
          <w:color w:val="auto"/>
          <w:highlight w:val="none"/>
          <w:lang w:val="en-US" w:eastAsia="zh-CN"/>
        </w:rPr>
      </w:pPr>
      <w:r>
        <w:rPr>
          <w:rFonts w:hint="eastAsia"/>
          <w:b w:val="0"/>
          <w:bCs w:val="0"/>
          <w:color w:val="auto"/>
          <w:highlight w:val="none"/>
        </w:rPr>
        <w:t>联系人：</w:t>
      </w:r>
      <w:r>
        <w:rPr>
          <w:rFonts w:hint="eastAsia"/>
          <w:b w:val="0"/>
          <w:bCs w:val="0"/>
          <w:color w:val="auto"/>
          <w:highlight w:val="none"/>
          <w:lang w:val="en-US" w:eastAsia="zh-CN"/>
        </w:rPr>
        <w:t>技术：</w:t>
      </w:r>
      <w:r>
        <w:rPr>
          <w:rFonts w:hint="eastAsia"/>
          <w:b w:val="0"/>
          <w:bCs w:val="0"/>
          <w:color w:val="auto"/>
          <w:highlight w:val="none"/>
        </w:rPr>
        <w:t>高振梁</w:t>
      </w:r>
      <w:r>
        <w:rPr>
          <w:rFonts w:hint="eastAsia"/>
          <w:b w:val="0"/>
          <w:bCs w:val="0"/>
          <w:color w:val="auto"/>
          <w:highlight w:val="none"/>
          <w:lang w:eastAsia="zh-CN"/>
        </w:rPr>
        <w:t>，</w:t>
      </w:r>
      <w:r>
        <w:rPr>
          <w:rFonts w:hint="eastAsia"/>
          <w:b w:val="0"/>
          <w:bCs w:val="0"/>
          <w:color w:val="auto"/>
          <w:highlight w:val="none"/>
          <w:lang w:val="en-US" w:eastAsia="zh-CN"/>
        </w:rPr>
        <w:t>商务：张晓庆</w:t>
      </w:r>
    </w:p>
    <w:p w14:paraId="4A345A6C">
      <w:pPr>
        <w:pStyle w:val="77"/>
        <w:ind w:left="425"/>
        <w:rPr>
          <w:rFonts w:hint="default" w:eastAsia="宋体"/>
          <w:b w:val="0"/>
          <w:bCs w:val="0"/>
          <w:color w:val="auto"/>
          <w:highlight w:val="none"/>
          <w:lang w:val="en-US" w:eastAsia="zh-CN"/>
        </w:rPr>
      </w:pPr>
      <w:r>
        <w:rPr>
          <w:rFonts w:hint="eastAsia"/>
          <w:b w:val="0"/>
          <w:bCs w:val="0"/>
          <w:color w:val="auto"/>
          <w:highlight w:val="none"/>
        </w:rPr>
        <w:t>电话：1</w:t>
      </w:r>
      <w:r>
        <w:rPr>
          <w:b w:val="0"/>
          <w:bCs w:val="0"/>
          <w:color w:val="auto"/>
          <w:highlight w:val="none"/>
        </w:rPr>
        <w:t>7854123780</w:t>
      </w:r>
      <w:r>
        <w:rPr>
          <w:rFonts w:hint="eastAsia"/>
          <w:b w:val="0"/>
          <w:bCs w:val="0"/>
          <w:color w:val="auto"/>
          <w:highlight w:val="none"/>
          <w:lang w:eastAsia="zh-CN"/>
        </w:rPr>
        <w:t>，</w:t>
      </w:r>
      <w:r>
        <w:rPr>
          <w:rFonts w:hint="eastAsia"/>
          <w:b w:val="0"/>
          <w:bCs w:val="0"/>
          <w:color w:val="auto"/>
          <w:highlight w:val="none"/>
          <w:lang w:val="en-US" w:eastAsia="zh-CN"/>
        </w:rPr>
        <w:t>17860607738</w:t>
      </w:r>
    </w:p>
    <w:p w14:paraId="5A51A656">
      <w:pPr>
        <w:pStyle w:val="77"/>
        <w:ind w:left="425"/>
        <w:rPr>
          <w:b w:val="0"/>
          <w:bCs w:val="0"/>
          <w:color w:val="auto"/>
          <w:highlight w:val="none"/>
        </w:rPr>
      </w:pPr>
      <w:r>
        <w:rPr>
          <w:rFonts w:hint="eastAsia"/>
          <w:b w:val="0"/>
          <w:bCs w:val="0"/>
          <w:color w:val="auto"/>
          <w:highlight w:val="none"/>
        </w:rPr>
        <w:t>邮箱：gaozhenliang@sinotruk.com</w:t>
      </w:r>
    </w:p>
    <w:bookmarkEnd w:id="3"/>
    <w:p w14:paraId="5A82AD1F">
      <w:pPr>
        <w:pStyle w:val="73"/>
      </w:pPr>
      <w:bookmarkStart w:id="4" w:name="_Toc47976598"/>
      <w:r>
        <w:rPr>
          <w:rFonts w:hint="eastAsia"/>
        </w:rPr>
        <w:t>合格的投标人。</w:t>
      </w:r>
      <w:bookmarkEnd w:id="4"/>
    </w:p>
    <w:p w14:paraId="06236C6D">
      <w:pPr>
        <w:pStyle w:val="74"/>
        <w:numPr>
          <w:ilvl w:val="0"/>
          <w:numId w:val="11"/>
        </w:numPr>
        <w:ind w:left="0" w:firstLine="0"/>
        <w:rPr>
          <w:b w:val="0"/>
          <w:bCs/>
        </w:rPr>
      </w:pPr>
      <w:r>
        <w:rPr>
          <w:rFonts w:hint="eastAsia"/>
          <w:b w:val="0"/>
          <w:bCs/>
        </w:rPr>
        <w:t>投标人须遵守《中华人民共和国招标投标法》及其它有关的法律和法规；为中华人民共和国境内注册的独立法人机构，具有独立承担民事责任能力；</w:t>
      </w:r>
    </w:p>
    <w:p w14:paraId="44136220">
      <w:pPr>
        <w:pStyle w:val="74"/>
        <w:numPr>
          <w:ilvl w:val="0"/>
          <w:numId w:val="11"/>
        </w:numPr>
        <w:ind w:left="0" w:firstLine="0"/>
        <w:rPr>
          <w:b w:val="0"/>
          <w:bCs/>
        </w:rPr>
      </w:pPr>
      <w:r>
        <w:rPr>
          <w:rFonts w:hint="eastAsia"/>
          <w:b w:val="0"/>
          <w:bCs/>
        </w:rPr>
        <w:t>拟标投人必须是在中华人民共和国境内注册的独立法人机构，具有独立承担民事责任能力；注册资金不少于</w:t>
      </w:r>
      <w:r>
        <w:rPr>
          <w:b w:val="0"/>
          <w:bCs/>
          <w:u w:val="single"/>
        </w:rPr>
        <w:t>500</w:t>
      </w:r>
      <w:r>
        <w:rPr>
          <w:rFonts w:hint="eastAsia"/>
          <w:b w:val="0"/>
          <w:bCs/>
        </w:rPr>
        <w:t>万人民币（或等值其他货币）；公司成立</w:t>
      </w:r>
      <w:r>
        <w:rPr>
          <w:b w:val="0"/>
          <w:bCs/>
          <w:u w:val="single"/>
        </w:rPr>
        <w:t>3</w:t>
      </w:r>
      <w:r>
        <w:rPr>
          <w:rFonts w:hint="eastAsia"/>
          <w:b w:val="0"/>
          <w:bCs/>
        </w:rPr>
        <w:t>年以上（以营业执照成立日期到开标当日满</w:t>
      </w:r>
      <w:r>
        <w:rPr>
          <w:b w:val="0"/>
          <w:bCs/>
          <w:u w:val="single"/>
        </w:rPr>
        <w:t>3</w:t>
      </w:r>
      <w:r>
        <w:rPr>
          <w:rFonts w:hint="eastAsia"/>
          <w:b w:val="0"/>
          <w:bCs/>
        </w:rPr>
        <w:t>年为准），且经营范围满足招标人需求；并在人员、设备、资金等方面具有承担本项目的能力；</w:t>
      </w:r>
    </w:p>
    <w:p w14:paraId="750502F8">
      <w:pPr>
        <w:pStyle w:val="74"/>
        <w:numPr>
          <w:ilvl w:val="0"/>
          <w:numId w:val="11"/>
        </w:numPr>
        <w:ind w:left="0" w:firstLine="0"/>
        <w:rPr>
          <w:b w:val="0"/>
          <w:bCs/>
        </w:rPr>
      </w:pPr>
      <w:r>
        <w:rPr>
          <w:rFonts w:hint="eastAsia"/>
          <w:b w:val="0"/>
          <w:bCs/>
        </w:rPr>
        <w:t>投标人须具有良好的商业信誉和健全的财务会计制度，财务状况和市场行为良好。没有处于被有权机关吊销营业执照、吊销资质、停业整顿、取消投标资格以及财产被接管、冻结或进入破产程序等；</w:t>
      </w:r>
    </w:p>
    <w:p w14:paraId="3E9B87D2">
      <w:pPr>
        <w:pStyle w:val="74"/>
        <w:numPr>
          <w:ilvl w:val="0"/>
          <w:numId w:val="11"/>
        </w:numPr>
        <w:ind w:left="0" w:firstLine="0"/>
        <w:rPr>
          <w:b w:val="0"/>
          <w:bCs/>
        </w:rPr>
      </w:pPr>
      <w:r>
        <w:rPr>
          <w:rFonts w:hint="eastAsia"/>
          <w:b w:val="0"/>
          <w:bCs/>
        </w:rPr>
        <w:t>投标人在“信用中国”中未列入联合惩戒失信人名单，且工商行政管理局的《国家企业信用信息公示系统》中查询不存在不良记录；</w:t>
      </w:r>
    </w:p>
    <w:p w14:paraId="77C725EA">
      <w:pPr>
        <w:pStyle w:val="74"/>
        <w:numPr>
          <w:ilvl w:val="0"/>
          <w:numId w:val="11"/>
        </w:numPr>
        <w:ind w:left="0" w:firstLine="0"/>
        <w:rPr>
          <w:b w:val="0"/>
          <w:bCs/>
        </w:rPr>
      </w:pPr>
      <w:r>
        <w:rPr>
          <w:rFonts w:hint="eastAsia"/>
          <w:b w:val="0"/>
          <w:bCs/>
        </w:rPr>
        <w:t>无招标违规、谎报年度报告信息、提供虚假资质资料等行为或其他行政处罚记录；</w:t>
      </w:r>
    </w:p>
    <w:p w14:paraId="137C3B75">
      <w:pPr>
        <w:pStyle w:val="74"/>
        <w:numPr>
          <w:ilvl w:val="0"/>
          <w:numId w:val="11"/>
        </w:numPr>
        <w:ind w:left="0" w:firstLine="0"/>
        <w:rPr>
          <w:b w:val="0"/>
          <w:bCs/>
        </w:rPr>
      </w:pPr>
      <w:r>
        <w:rPr>
          <w:rFonts w:hint="eastAsia"/>
          <w:b w:val="0"/>
          <w:bCs/>
        </w:rPr>
        <w:t>近三年内在经营活动中无与本项目有关的违法及重大违规情况；</w:t>
      </w:r>
    </w:p>
    <w:p w14:paraId="33ACCC51">
      <w:pPr>
        <w:pStyle w:val="74"/>
        <w:numPr>
          <w:ilvl w:val="0"/>
          <w:numId w:val="11"/>
        </w:numPr>
        <w:ind w:left="0" w:firstLine="0"/>
        <w:rPr>
          <w:b w:val="0"/>
          <w:bCs/>
        </w:rPr>
      </w:pPr>
      <w:r>
        <w:rPr>
          <w:rFonts w:hint="eastAsia"/>
          <w:b w:val="0"/>
          <w:bCs/>
        </w:rPr>
        <w:t>投标人没有被列入招标人处《黑名单》（《黑名单》指投标人与招标人在以往或正在进行的合作中，存在招标人认为的违反合同约定或违反法律法规等的失信行为）的；</w:t>
      </w:r>
    </w:p>
    <w:p w14:paraId="3659ACDE">
      <w:pPr>
        <w:pStyle w:val="74"/>
        <w:numPr>
          <w:ilvl w:val="0"/>
          <w:numId w:val="11"/>
        </w:numPr>
        <w:ind w:left="0" w:firstLine="0"/>
        <w:rPr>
          <w:b w:val="0"/>
          <w:bCs/>
        </w:rPr>
      </w:pPr>
      <w:r>
        <w:rPr>
          <w:rFonts w:hint="eastAsia"/>
          <w:b w:val="0"/>
          <w:bCs/>
        </w:rPr>
        <w:t>公司经营范围满足招标项目需求；</w:t>
      </w:r>
    </w:p>
    <w:p w14:paraId="25DCFB9B">
      <w:pPr>
        <w:pStyle w:val="74"/>
        <w:numPr>
          <w:ilvl w:val="0"/>
          <w:numId w:val="11"/>
        </w:numPr>
        <w:ind w:left="0" w:firstLine="0"/>
        <w:rPr>
          <w:b w:val="0"/>
          <w:bCs/>
        </w:rPr>
      </w:pPr>
      <w:r>
        <w:rPr>
          <w:rFonts w:hint="eastAsia"/>
          <w:b w:val="0"/>
          <w:bCs/>
        </w:rPr>
        <w:t>投标人须具有履行招标文件所有设备、专业技术等要求的能力；</w:t>
      </w:r>
    </w:p>
    <w:p w14:paraId="05CA28F0">
      <w:pPr>
        <w:pStyle w:val="74"/>
        <w:numPr>
          <w:ilvl w:val="0"/>
          <w:numId w:val="11"/>
        </w:numPr>
        <w:ind w:left="0" w:firstLine="0"/>
        <w:rPr>
          <w:b w:val="0"/>
          <w:bCs/>
        </w:rPr>
      </w:pPr>
      <w:r>
        <w:rPr>
          <w:rFonts w:hint="eastAsia"/>
          <w:b w:val="0"/>
          <w:bCs/>
        </w:rPr>
        <w:t>投标人须有依法缴纳税收和社会保障资金的良好记录；</w:t>
      </w:r>
    </w:p>
    <w:p w14:paraId="4F29AF5C">
      <w:pPr>
        <w:pStyle w:val="74"/>
        <w:numPr>
          <w:ilvl w:val="0"/>
          <w:numId w:val="11"/>
        </w:numPr>
        <w:ind w:left="0" w:firstLine="0"/>
        <w:rPr>
          <w:b w:val="0"/>
          <w:bCs/>
        </w:rPr>
      </w:pPr>
      <w:r>
        <w:rPr>
          <w:rFonts w:hint="eastAsia"/>
          <w:b w:val="0"/>
          <w:bCs/>
        </w:rPr>
        <w:t>具有本次招标货物的供货、安装、售后服务等的相应资质；</w:t>
      </w:r>
    </w:p>
    <w:p w14:paraId="316DFEBA">
      <w:pPr>
        <w:pStyle w:val="74"/>
        <w:numPr>
          <w:ilvl w:val="0"/>
          <w:numId w:val="11"/>
        </w:numPr>
        <w:ind w:left="0" w:firstLine="0"/>
        <w:rPr>
          <w:b w:val="0"/>
          <w:bCs/>
        </w:rPr>
      </w:pPr>
      <w:r>
        <w:rPr>
          <w:rFonts w:hint="eastAsia"/>
          <w:b w:val="0"/>
          <w:bCs/>
        </w:rPr>
        <w:t>投标人须负责提供合理的便于运输的包装物，并承担相关费用；</w:t>
      </w:r>
    </w:p>
    <w:p w14:paraId="02D25415">
      <w:pPr>
        <w:pStyle w:val="74"/>
        <w:numPr>
          <w:ilvl w:val="0"/>
          <w:numId w:val="11"/>
        </w:numPr>
        <w:ind w:left="0" w:firstLine="0"/>
        <w:rPr>
          <w:b w:val="0"/>
          <w:bCs/>
        </w:rPr>
      </w:pPr>
      <w:r>
        <w:rPr>
          <w:rFonts w:hint="eastAsia"/>
          <w:b w:val="0"/>
          <w:bCs/>
        </w:rPr>
        <w:t>投标人须认可招标人的工作指令，包括节、假日能正常开展工作的要求。</w:t>
      </w:r>
    </w:p>
    <w:p w14:paraId="7E815890">
      <w:pPr>
        <w:pStyle w:val="74"/>
        <w:numPr>
          <w:ilvl w:val="0"/>
          <w:numId w:val="11"/>
        </w:numPr>
        <w:ind w:left="0" w:firstLine="0"/>
        <w:rPr>
          <w:b w:val="0"/>
          <w:bCs/>
        </w:rPr>
      </w:pPr>
      <w:r>
        <w:rPr>
          <w:rFonts w:hint="eastAsia"/>
          <w:b w:val="0"/>
          <w:bCs/>
        </w:rPr>
        <w:t>拟投标人的直接或间接股东、法定代表人、董事、监事、高管非重汽员工及其亲属；</w:t>
      </w:r>
    </w:p>
    <w:p w14:paraId="782879F8">
      <w:pPr>
        <w:pStyle w:val="74"/>
        <w:numPr>
          <w:ilvl w:val="0"/>
          <w:numId w:val="11"/>
        </w:numPr>
        <w:ind w:left="0" w:firstLine="0"/>
        <w:rPr>
          <w:b w:val="0"/>
          <w:bCs/>
        </w:rPr>
      </w:pPr>
      <w:r>
        <w:rPr>
          <w:rFonts w:hint="eastAsia"/>
          <w:b w:val="0"/>
          <w:bCs/>
        </w:rPr>
        <w:t>投标人必须是最终投标、签订合同的单位，不得以任何理由将已中标项目以任何形式转包或者分包给其他单位；</w:t>
      </w:r>
    </w:p>
    <w:p w14:paraId="5190E45D">
      <w:pPr>
        <w:pStyle w:val="74"/>
        <w:numPr>
          <w:ilvl w:val="0"/>
          <w:numId w:val="11"/>
        </w:numPr>
        <w:ind w:left="0" w:firstLine="0"/>
        <w:rPr>
          <w:color w:val="FF0000"/>
        </w:rPr>
      </w:pPr>
      <w:r>
        <w:rPr>
          <w:rFonts w:hint="eastAsia"/>
          <w:b w:val="0"/>
          <w:bCs/>
        </w:rPr>
        <w:t>本次招标项目不接受联合体投标；</w:t>
      </w:r>
      <w:r>
        <w:rPr>
          <w:color w:val="FF0000"/>
        </w:rPr>
        <w:t xml:space="preserve"> </w:t>
      </w:r>
    </w:p>
    <w:p w14:paraId="77D19DD8">
      <w:pPr>
        <w:pStyle w:val="74"/>
        <w:numPr>
          <w:ilvl w:val="0"/>
          <w:numId w:val="11"/>
        </w:numPr>
        <w:ind w:left="0" w:firstLine="0"/>
        <w:rPr>
          <w:b w:val="0"/>
          <w:bCs/>
        </w:rPr>
      </w:pPr>
      <w:r>
        <w:rPr>
          <w:rFonts w:hint="eastAsia"/>
          <w:b w:val="0"/>
          <w:bCs/>
        </w:rPr>
        <w:t>法律、行政法规规定的其他条件；</w:t>
      </w:r>
    </w:p>
    <w:p w14:paraId="22DF437D">
      <w:pPr>
        <w:pStyle w:val="73"/>
      </w:pPr>
      <w:r>
        <w:rPr>
          <w:rFonts w:hint="eastAsia"/>
        </w:rPr>
        <w:t>招标文件的领取、答疑、应标及投标报名</w:t>
      </w:r>
    </w:p>
    <w:p w14:paraId="7C7FD650">
      <w:pPr>
        <w:pStyle w:val="77"/>
        <w:numPr>
          <w:ilvl w:val="0"/>
          <w:numId w:val="12"/>
        </w:numPr>
        <w:jc w:val="both"/>
      </w:pPr>
      <w:r>
        <w:rPr>
          <w:rFonts w:hint="eastAsia"/>
        </w:rPr>
        <w:t>发标时间：</w:t>
      </w:r>
      <w:r>
        <w:rPr>
          <w:rFonts w:hint="eastAsia"/>
          <w:highlight w:val="yellow"/>
        </w:rPr>
        <w:t>20</w:t>
      </w:r>
      <w:r>
        <w:rPr>
          <w:highlight w:val="yellow"/>
        </w:rPr>
        <w:t>26</w:t>
      </w:r>
      <w:r>
        <w:rPr>
          <w:rFonts w:hint="eastAsia"/>
          <w:highlight w:val="yellow"/>
        </w:rPr>
        <w:t>年</w:t>
      </w:r>
      <w:r>
        <w:rPr>
          <w:highlight w:val="yellow"/>
        </w:rPr>
        <w:t>10</w:t>
      </w:r>
      <w:r>
        <w:rPr>
          <w:rFonts w:hint="eastAsia"/>
          <w:highlight w:val="yellow"/>
        </w:rPr>
        <w:t>月</w:t>
      </w:r>
      <w:r>
        <w:rPr>
          <w:rFonts w:hint="eastAsia"/>
          <w:highlight w:val="yellow"/>
          <w:lang w:val="en-US" w:eastAsia="zh-CN"/>
        </w:rPr>
        <w:t>10</w:t>
      </w:r>
      <w:r>
        <w:rPr>
          <w:rFonts w:hint="eastAsia"/>
          <w:highlight w:val="yellow"/>
        </w:rPr>
        <w:t>日</w:t>
      </w:r>
    </w:p>
    <w:p w14:paraId="2C15CBA0">
      <w:pPr>
        <w:pStyle w:val="77"/>
        <w:numPr>
          <w:ilvl w:val="0"/>
          <w:numId w:val="12"/>
        </w:numPr>
        <w:jc w:val="both"/>
        <w:rPr>
          <w:highlight w:val="yellow"/>
        </w:rPr>
      </w:pPr>
      <w:r>
        <w:rPr>
          <w:rFonts w:hint="eastAsia"/>
          <w:highlight w:val="yellow"/>
        </w:rPr>
        <w:t>招标文件领取方式、地点及领取截止时间</w:t>
      </w:r>
    </w:p>
    <w:p w14:paraId="4B556F29">
      <w:pPr>
        <w:pStyle w:val="77"/>
        <w:numPr>
          <w:ilvl w:val="0"/>
          <w:numId w:val="0"/>
        </w:numPr>
        <w:ind w:leftChars="0" w:firstLine="210" w:firstLineChars="100"/>
        <w:jc w:val="both"/>
        <w:rPr>
          <w:rFonts w:hint="eastAsia"/>
          <w:highlight w:val="yellow"/>
        </w:rPr>
      </w:pPr>
      <w:r>
        <w:rPr>
          <w:rFonts w:hint="eastAsia"/>
          <w:highlight w:val="yellow"/>
        </w:rPr>
        <w:t>中国重汽官网-通知公告栏公布</w:t>
      </w:r>
    </w:p>
    <w:p w14:paraId="61BC6894">
      <w:pPr>
        <w:pStyle w:val="77"/>
        <w:numPr>
          <w:ilvl w:val="0"/>
          <w:numId w:val="0"/>
        </w:numPr>
        <w:ind w:leftChars="0" w:firstLine="210" w:firstLineChars="100"/>
        <w:jc w:val="both"/>
        <w:rPr>
          <w:highlight w:val="yellow"/>
        </w:rPr>
      </w:pPr>
      <w:r>
        <w:rPr>
          <w:rFonts w:hint="eastAsia"/>
          <w:highlight w:val="yellow"/>
        </w:rPr>
        <w:t>山东省阳光采购服务平台</w:t>
      </w:r>
    </w:p>
    <w:p w14:paraId="7C79709F">
      <w:pPr>
        <w:pStyle w:val="77"/>
        <w:numPr>
          <w:ilvl w:val="0"/>
          <w:numId w:val="12"/>
        </w:numPr>
        <w:jc w:val="both"/>
      </w:pPr>
      <w:r>
        <w:rPr>
          <w:rFonts w:hint="eastAsia"/>
        </w:rPr>
        <w:t>答疑时间：</w:t>
      </w:r>
      <w:r>
        <w:rPr>
          <w:rFonts w:hint="eastAsia"/>
          <w:highlight w:val="yellow"/>
        </w:rPr>
        <w:t>20</w:t>
      </w:r>
      <w:r>
        <w:rPr>
          <w:highlight w:val="yellow"/>
        </w:rPr>
        <w:t>26</w:t>
      </w:r>
      <w:r>
        <w:rPr>
          <w:rFonts w:hint="eastAsia"/>
          <w:highlight w:val="yellow"/>
        </w:rPr>
        <w:t>年</w:t>
      </w:r>
      <w:r>
        <w:rPr>
          <w:highlight w:val="yellow"/>
        </w:rPr>
        <w:t>10</w:t>
      </w:r>
      <w:r>
        <w:rPr>
          <w:rFonts w:hint="eastAsia"/>
          <w:highlight w:val="yellow"/>
        </w:rPr>
        <w:t>月</w:t>
      </w:r>
      <w:r>
        <w:rPr>
          <w:highlight w:val="yellow"/>
        </w:rPr>
        <w:t>1</w:t>
      </w:r>
      <w:r>
        <w:rPr>
          <w:rFonts w:hint="eastAsia"/>
          <w:highlight w:val="yellow"/>
          <w:lang w:val="en-US" w:eastAsia="zh-CN"/>
        </w:rPr>
        <w:t>8</w:t>
      </w:r>
      <w:r>
        <w:rPr>
          <w:rFonts w:hint="eastAsia"/>
          <w:highlight w:val="yellow"/>
        </w:rPr>
        <w:t>日</w:t>
      </w:r>
      <w:r>
        <w:rPr>
          <w:rFonts w:hint="eastAsia"/>
          <w:highlight w:val="yellow"/>
          <w:lang w:val="en-US" w:eastAsia="zh-CN"/>
        </w:rPr>
        <w:t>17:00</w:t>
      </w:r>
      <w:r>
        <w:rPr>
          <w:rFonts w:hint="eastAsia"/>
          <w:highlight w:val="yellow"/>
        </w:rPr>
        <w:t>前</w:t>
      </w:r>
    </w:p>
    <w:p w14:paraId="4CB3A439">
      <w:pPr>
        <w:pStyle w:val="77"/>
        <w:numPr>
          <w:ilvl w:val="0"/>
          <w:numId w:val="0"/>
        </w:numPr>
        <w:jc w:val="both"/>
        <w:rPr>
          <w:rFonts w:hint="eastAsia"/>
        </w:rPr>
      </w:pPr>
      <w:r>
        <w:rPr>
          <w:rFonts w:hint="eastAsia"/>
        </w:rPr>
        <w:t>答疑方式：电话及邮件</w:t>
      </w:r>
    </w:p>
    <w:p w14:paraId="5C1D1161">
      <w:pPr>
        <w:pStyle w:val="77"/>
        <w:numPr>
          <w:ilvl w:val="0"/>
          <w:numId w:val="0"/>
        </w:numPr>
        <w:ind w:leftChars="0"/>
        <w:jc w:val="both"/>
        <w:rPr>
          <w:rFonts w:hint="eastAsia"/>
        </w:rPr>
      </w:pPr>
      <w:r>
        <w:rPr>
          <w:rFonts w:hint="eastAsia"/>
        </w:rPr>
        <w:t>联系人：高振梁</w:t>
      </w:r>
    </w:p>
    <w:p w14:paraId="314FB710">
      <w:pPr>
        <w:pStyle w:val="77"/>
        <w:numPr>
          <w:ilvl w:val="0"/>
          <w:numId w:val="0"/>
        </w:numPr>
        <w:ind w:leftChars="0"/>
        <w:jc w:val="both"/>
        <w:rPr>
          <w:rFonts w:hint="eastAsia"/>
        </w:rPr>
      </w:pPr>
      <w:r>
        <w:rPr>
          <w:rFonts w:hint="eastAsia"/>
        </w:rPr>
        <w:t>电话：17854123780</w:t>
      </w:r>
    </w:p>
    <w:p w14:paraId="4F2E4C31">
      <w:pPr>
        <w:pStyle w:val="77"/>
        <w:numPr>
          <w:ilvl w:val="0"/>
          <w:numId w:val="0"/>
        </w:numPr>
        <w:ind w:leftChars="0"/>
        <w:jc w:val="both"/>
        <w:rPr>
          <w:rFonts w:hint="eastAsia"/>
        </w:rPr>
      </w:pPr>
      <w:r>
        <w:rPr>
          <w:rFonts w:hint="eastAsia"/>
        </w:rPr>
        <w:t>邮箱：gaozhenliang@sinotruk.com</w:t>
      </w:r>
    </w:p>
    <w:p w14:paraId="433F7488">
      <w:pPr>
        <w:pStyle w:val="77"/>
        <w:numPr>
          <w:ilvl w:val="0"/>
          <w:numId w:val="0"/>
        </w:numPr>
        <w:ind w:leftChars="0"/>
        <w:jc w:val="both"/>
        <w:rPr>
          <w:rFonts w:hint="eastAsia"/>
        </w:rPr>
      </w:pPr>
      <w:r>
        <w:rPr>
          <w:rFonts w:hint="eastAsia"/>
        </w:rPr>
        <w:t>商务答疑</w:t>
      </w:r>
    </w:p>
    <w:p w14:paraId="206D43DB">
      <w:pPr>
        <w:pStyle w:val="77"/>
        <w:numPr>
          <w:ilvl w:val="0"/>
          <w:numId w:val="0"/>
        </w:numPr>
        <w:ind w:leftChars="0"/>
        <w:jc w:val="both"/>
        <w:rPr>
          <w:rFonts w:hint="eastAsia"/>
        </w:rPr>
      </w:pPr>
      <w:r>
        <w:rPr>
          <w:rFonts w:hint="eastAsia"/>
        </w:rPr>
        <w:t>答疑方式：电话及邮件</w:t>
      </w:r>
    </w:p>
    <w:p w14:paraId="53FB9BD7">
      <w:pPr>
        <w:pStyle w:val="77"/>
        <w:numPr>
          <w:ilvl w:val="0"/>
          <w:numId w:val="0"/>
        </w:numPr>
        <w:ind w:leftChars="0"/>
        <w:jc w:val="both"/>
        <w:rPr>
          <w:rFonts w:hint="eastAsia"/>
        </w:rPr>
      </w:pPr>
      <w:r>
        <w:rPr>
          <w:rFonts w:hint="eastAsia"/>
        </w:rPr>
        <w:t>联系人：张晓庆</w:t>
      </w:r>
    </w:p>
    <w:p w14:paraId="696DF033">
      <w:pPr>
        <w:pStyle w:val="77"/>
        <w:numPr>
          <w:ilvl w:val="0"/>
          <w:numId w:val="0"/>
        </w:numPr>
        <w:ind w:leftChars="0"/>
        <w:jc w:val="both"/>
        <w:rPr>
          <w:rFonts w:hint="eastAsia"/>
        </w:rPr>
      </w:pPr>
      <w:r>
        <w:rPr>
          <w:rFonts w:hint="eastAsia"/>
        </w:rPr>
        <w:t>电话：</w:t>
      </w:r>
      <w:r>
        <w:rPr>
          <w:rFonts w:hint="eastAsia"/>
          <w:b w:val="0"/>
          <w:bCs w:val="0"/>
          <w:color w:val="auto"/>
          <w:highlight w:val="none"/>
          <w:lang w:val="en-US" w:eastAsia="zh-CN"/>
        </w:rPr>
        <w:t>17860607738</w:t>
      </w:r>
    </w:p>
    <w:p w14:paraId="4BB9B9CE">
      <w:pPr>
        <w:pStyle w:val="77"/>
        <w:numPr>
          <w:ilvl w:val="0"/>
          <w:numId w:val="0"/>
        </w:numPr>
        <w:ind w:leftChars="0"/>
        <w:jc w:val="both"/>
      </w:pPr>
      <w:r>
        <w:rPr>
          <w:rFonts w:hint="eastAsia"/>
        </w:rPr>
        <w:t>邮箱：zhangxiaoqing3@sinotruk.com</w:t>
      </w:r>
    </w:p>
    <w:p w14:paraId="702ED755">
      <w:pPr>
        <w:pStyle w:val="77"/>
        <w:numPr>
          <w:ilvl w:val="0"/>
          <w:numId w:val="12"/>
        </w:numPr>
        <w:ind w:left="0" w:firstLine="0"/>
        <w:jc w:val="both"/>
      </w:pPr>
      <w:r>
        <w:rPr>
          <w:rFonts w:hint="eastAsia"/>
        </w:rPr>
        <w:t>提交疑问方式：将答疑问题以word文件格式发送至联系人邮件内，并电话联系工作人员查收，</w:t>
      </w:r>
      <w:r>
        <w:rPr>
          <w:rFonts w:hint="eastAsia"/>
          <w:b/>
          <w:bCs/>
        </w:rPr>
        <w:t>邮件名格式为：XXX公司（五个字以内公司简称）XX项目答疑文件。同时必须在邮件中以文字方式提供投标人全称、投标授权人姓名、联系方式（固定电话、手机、电子邮箱），并提供附件2法定代表人授权委托书。</w:t>
      </w:r>
    </w:p>
    <w:p w14:paraId="0E344335">
      <w:pPr>
        <w:pStyle w:val="77"/>
        <w:numPr>
          <w:ilvl w:val="0"/>
          <w:numId w:val="12"/>
        </w:numPr>
        <w:jc w:val="both"/>
      </w:pPr>
      <w:r>
        <w:rPr>
          <w:rFonts w:hint="eastAsia"/>
        </w:rPr>
        <w:t>领取答疑、澄清和修改文件时间：</w:t>
      </w:r>
      <w:r>
        <w:rPr>
          <w:rFonts w:hint="eastAsia"/>
          <w:highlight w:val="yellow"/>
        </w:rPr>
        <w:t>20</w:t>
      </w:r>
      <w:r>
        <w:rPr>
          <w:highlight w:val="yellow"/>
        </w:rPr>
        <w:t>26</w:t>
      </w:r>
      <w:r>
        <w:rPr>
          <w:rFonts w:hint="eastAsia"/>
          <w:highlight w:val="yellow"/>
        </w:rPr>
        <w:t>年</w:t>
      </w:r>
      <w:r>
        <w:rPr>
          <w:highlight w:val="yellow"/>
        </w:rPr>
        <w:t>10</w:t>
      </w:r>
      <w:r>
        <w:rPr>
          <w:rFonts w:hint="eastAsia"/>
          <w:highlight w:val="yellow"/>
        </w:rPr>
        <w:t>月</w:t>
      </w:r>
      <w:r>
        <w:rPr>
          <w:highlight w:val="yellow"/>
        </w:rPr>
        <w:t>1</w:t>
      </w:r>
      <w:r>
        <w:rPr>
          <w:rFonts w:hint="eastAsia"/>
          <w:highlight w:val="yellow"/>
          <w:lang w:val="en-US" w:eastAsia="zh-CN"/>
        </w:rPr>
        <w:t>8</w:t>
      </w:r>
      <w:r>
        <w:rPr>
          <w:rFonts w:hint="eastAsia"/>
          <w:highlight w:val="yellow"/>
        </w:rPr>
        <w:t>日</w:t>
      </w:r>
      <w:r>
        <w:rPr>
          <w:rFonts w:hint="eastAsia"/>
          <w:highlight w:val="yellow"/>
          <w:lang w:val="en-US" w:eastAsia="zh-CN"/>
        </w:rPr>
        <w:t>17:00</w:t>
      </w:r>
      <w:r>
        <w:rPr>
          <w:rFonts w:hint="eastAsia"/>
          <w:highlight w:val="yellow"/>
        </w:rPr>
        <w:t>前</w:t>
      </w:r>
    </w:p>
    <w:p w14:paraId="53B950C0">
      <w:pPr>
        <w:pStyle w:val="77"/>
        <w:numPr>
          <w:ilvl w:val="0"/>
          <w:numId w:val="12"/>
        </w:numPr>
        <w:ind w:left="0" w:firstLine="0"/>
        <w:jc w:val="both"/>
      </w:pPr>
      <w:r>
        <w:rPr>
          <w:rFonts w:hint="eastAsia"/>
        </w:rPr>
        <w:t>答疑、澄清和修改文件方式：招标人将以电子邮件的方式将招标文件的答疑澄清文件发送至答疑文件提交时登记的电子邮箱。</w:t>
      </w:r>
    </w:p>
    <w:p w14:paraId="23BABE3F">
      <w:pPr>
        <w:pStyle w:val="77"/>
        <w:numPr>
          <w:ilvl w:val="0"/>
          <w:numId w:val="12"/>
        </w:numPr>
        <w:jc w:val="both"/>
        <w:rPr>
          <w:highlight w:val="yellow"/>
        </w:rPr>
      </w:pPr>
      <w:r>
        <w:rPr>
          <w:rFonts w:hint="eastAsia"/>
          <w:highlight w:val="yellow"/>
        </w:rPr>
        <w:t>报名方式</w:t>
      </w:r>
    </w:p>
    <w:p w14:paraId="316197A0">
      <w:pPr>
        <w:pStyle w:val="112"/>
        <w:ind w:firstLine="420"/>
        <w:rPr>
          <w:rFonts w:hAnsi="Courier New" w:cs="Times New Roman"/>
          <w:color w:val="auto"/>
          <w:sz w:val="21"/>
          <w:szCs w:val="20"/>
        </w:rPr>
      </w:pPr>
      <w:r>
        <w:rPr>
          <w:rFonts w:hint="eastAsia" w:hAnsi="Courier New" w:cs="Times New Roman"/>
          <w:color w:val="auto"/>
          <w:sz w:val="21"/>
          <w:szCs w:val="20"/>
        </w:rPr>
        <w:t>拟投标人根据招标人在中国重汽的官网、阳光采购平台上发布的招标信息，邮件报名。报名邮箱：</w:t>
      </w:r>
      <w:r>
        <w:fldChar w:fldCharType="begin"/>
      </w:r>
      <w:r>
        <w:instrText xml:space="preserve"> HYPERLINK "mailto:%20ninglei@sinotruk.com" </w:instrText>
      </w:r>
      <w:r>
        <w:fldChar w:fldCharType="separate"/>
      </w:r>
      <w:r>
        <w:rPr>
          <w:rFonts w:hAnsi="Courier New"/>
          <w:color w:val="auto"/>
          <w:sz w:val="21"/>
          <w:szCs w:val="20"/>
        </w:rPr>
        <w:t xml:space="preserve"> ninglei</w:t>
      </w:r>
      <w:r>
        <w:rPr>
          <w:rFonts w:hint="eastAsia" w:hAnsi="Courier New"/>
          <w:color w:val="auto"/>
          <w:sz w:val="21"/>
          <w:szCs w:val="20"/>
        </w:rPr>
        <w:t>@sinotruk.com</w:t>
      </w:r>
      <w:r>
        <w:rPr>
          <w:rFonts w:hint="eastAsia" w:hAnsi="Courier New"/>
          <w:color w:val="auto"/>
          <w:sz w:val="21"/>
          <w:szCs w:val="20"/>
        </w:rPr>
        <w:fldChar w:fldCharType="end"/>
      </w:r>
      <w:r>
        <w:rPr>
          <w:rFonts w:hint="eastAsia" w:hAnsi="Courier New" w:cs="Times New Roman"/>
          <w:color w:val="auto"/>
          <w:sz w:val="21"/>
          <w:szCs w:val="20"/>
        </w:rPr>
        <w:t>公示期间请尽快报名，报名后无须电话询问是否报名成功，我单位会通过邮件回复贵单位招标事项。</w:t>
      </w:r>
    </w:p>
    <w:p w14:paraId="47693BFB">
      <w:pPr>
        <w:pStyle w:val="15"/>
        <w:spacing w:line="360" w:lineRule="auto"/>
        <w:ind w:firstLine="420" w:firstLineChars="200"/>
      </w:pPr>
      <w:r>
        <w:rPr>
          <w:rFonts w:hint="eastAsia"/>
        </w:rPr>
        <w:t>投标邮件主题：某单位授权某代表参与投标某项目+电话</w:t>
      </w:r>
    </w:p>
    <w:p w14:paraId="70D7C29C">
      <w:pPr>
        <w:pStyle w:val="77"/>
        <w:jc w:val="both"/>
        <w:rPr>
          <w:highlight w:val="yellow"/>
        </w:rPr>
      </w:pPr>
      <w:r>
        <w:rPr>
          <w:rFonts w:hint="eastAsia"/>
        </w:rPr>
        <w:t>投标邮件附件：营业执照，授权书（含法人及授权人身份信息）、投标保证金回单（附件单独存放，不要发压缩包，不要使用1</w:t>
      </w:r>
      <w:r>
        <w:t>26</w:t>
      </w:r>
      <w:r>
        <w:rPr>
          <w:rFonts w:hint="eastAsia"/>
        </w:rPr>
        <w:t>或者1</w:t>
      </w:r>
      <w:r>
        <w:t>23</w:t>
      </w:r>
      <w:r>
        <w:rPr>
          <w:rFonts w:hint="eastAsia"/>
        </w:rPr>
        <w:t>邮箱报名，我公司无法打开下载）</w:t>
      </w:r>
    </w:p>
    <w:p w14:paraId="78786ADF">
      <w:pPr>
        <w:pStyle w:val="77"/>
        <w:numPr>
          <w:ilvl w:val="0"/>
          <w:numId w:val="12"/>
        </w:numPr>
        <w:jc w:val="both"/>
        <w:rPr>
          <w:highlight w:val="yellow"/>
        </w:rPr>
      </w:pPr>
      <w:r>
        <w:rPr>
          <w:rFonts w:hint="eastAsia"/>
          <w:highlight w:val="yellow"/>
        </w:rPr>
        <w:t>应标截止时间：202</w:t>
      </w:r>
      <w:r>
        <w:rPr>
          <w:highlight w:val="yellow"/>
        </w:rPr>
        <w:t>6</w:t>
      </w:r>
      <w:r>
        <w:rPr>
          <w:rFonts w:hint="eastAsia"/>
          <w:highlight w:val="yellow"/>
        </w:rPr>
        <w:t>年</w:t>
      </w:r>
      <w:r>
        <w:rPr>
          <w:highlight w:val="yellow"/>
        </w:rPr>
        <w:t>10</w:t>
      </w:r>
      <w:r>
        <w:rPr>
          <w:rFonts w:hint="eastAsia"/>
          <w:highlight w:val="yellow"/>
        </w:rPr>
        <w:t>月</w:t>
      </w:r>
      <w:r>
        <w:rPr>
          <w:rFonts w:hint="eastAsia"/>
          <w:highlight w:val="yellow"/>
          <w:lang w:val="en-US" w:eastAsia="zh-CN"/>
        </w:rPr>
        <w:t>15</w:t>
      </w:r>
      <w:r>
        <w:rPr>
          <w:rFonts w:hint="eastAsia"/>
          <w:highlight w:val="yellow"/>
        </w:rPr>
        <w:t>日17时00分</w:t>
      </w:r>
    </w:p>
    <w:p w14:paraId="13850DAF">
      <w:pPr>
        <w:pStyle w:val="73"/>
        <w:rPr>
          <w:rFonts w:ascii="宋体" w:eastAsia="宋体"/>
        </w:rPr>
      </w:pPr>
      <w:r>
        <w:rPr>
          <w:rFonts w:hint="eastAsia"/>
        </w:rPr>
        <w:t>投标文件编制</w:t>
      </w:r>
    </w:p>
    <w:p w14:paraId="1D99B05B">
      <w:pPr>
        <w:pStyle w:val="74"/>
        <w:numPr>
          <w:ilvl w:val="0"/>
          <w:numId w:val="13"/>
        </w:numPr>
        <w:ind w:firstLine="0"/>
        <w:rPr>
          <w:b w:val="0"/>
        </w:rPr>
      </w:pPr>
      <w:r>
        <w:rPr>
          <w:rFonts w:hint="eastAsia"/>
          <w:b w:val="0"/>
        </w:rPr>
        <w:t>投标文件的组成</w:t>
      </w:r>
    </w:p>
    <w:p w14:paraId="4444AB21">
      <w:pPr>
        <w:pStyle w:val="74"/>
        <w:numPr>
          <w:ilvl w:val="0"/>
          <w:numId w:val="0"/>
        </w:numPr>
        <w:rPr>
          <w:b w:val="0"/>
          <w:bCs/>
        </w:rPr>
      </w:pPr>
      <w:r>
        <w:rPr>
          <w:rFonts w:hint="eastAsia"/>
          <w:b w:val="0"/>
          <w:bCs/>
        </w:rPr>
        <w:t>投标人编写的投标文件由《投标文件（资质标）》、《投标文件（技术标）》、《投标文件（商务标）》（开标一览表）文件组成，共计</w:t>
      </w:r>
      <w:r>
        <w:rPr>
          <w:b w:val="0"/>
          <w:bCs/>
          <w:u w:val="single"/>
        </w:rPr>
        <w:t>4</w:t>
      </w:r>
      <w:r>
        <w:rPr>
          <w:rFonts w:hint="eastAsia"/>
          <w:b w:val="0"/>
          <w:bCs/>
        </w:rPr>
        <w:t>个文件。</w:t>
      </w:r>
    </w:p>
    <w:p w14:paraId="2E788E81">
      <w:pPr>
        <w:pStyle w:val="75"/>
        <w:numPr>
          <w:ilvl w:val="0"/>
          <w:numId w:val="14"/>
        </w:numPr>
        <w:rPr>
          <w:b w:val="0"/>
          <w:bCs/>
        </w:rPr>
      </w:pPr>
      <w:r>
        <w:rPr>
          <w:rFonts w:hint="eastAsia"/>
          <w:b w:val="0"/>
          <w:bCs/>
        </w:rPr>
        <w:t>资质文件：</w:t>
      </w:r>
    </w:p>
    <w:p w14:paraId="5A303917">
      <w:pPr>
        <w:pStyle w:val="76"/>
        <w:numPr>
          <w:ilvl w:val="0"/>
          <w:numId w:val="15"/>
        </w:numPr>
        <w:rPr>
          <w:bCs/>
        </w:rPr>
      </w:pPr>
      <w:r>
        <w:rPr>
          <w:rFonts w:hint="eastAsia"/>
          <w:bCs/>
        </w:rPr>
        <w:t>法定代表人身份证明；</w:t>
      </w:r>
    </w:p>
    <w:p w14:paraId="575CBF45">
      <w:pPr>
        <w:pStyle w:val="76"/>
        <w:numPr>
          <w:ilvl w:val="0"/>
          <w:numId w:val="15"/>
        </w:numPr>
        <w:rPr>
          <w:bCs/>
        </w:rPr>
      </w:pPr>
      <w:r>
        <w:rPr>
          <w:rFonts w:hint="eastAsia"/>
          <w:bCs/>
        </w:rPr>
        <w:t>法定代表人授权委托书（授权人需带身份证原件）；</w:t>
      </w:r>
    </w:p>
    <w:p w14:paraId="720B082E">
      <w:pPr>
        <w:pStyle w:val="76"/>
        <w:numPr>
          <w:ilvl w:val="0"/>
          <w:numId w:val="15"/>
        </w:numPr>
        <w:rPr>
          <w:bCs/>
        </w:rPr>
      </w:pPr>
      <w:r>
        <w:rPr>
          <w:rFonts w:hint="eastAsia"/>
          <w:bCs/>
        </w:rPr>
        <w:t>营业执照副本原件或复印件并加盖公章；</w:t>
      </w:r>
    </w:p>
    <w:p w14:paraId="5C9FD9BD">
      <w:pPr>
        <w:pStyle w:val="76"/>
        <w:numPr>
          <w:ilvl w:val="0"/>
          <w:numId w:val="15"/>
        </w:numPr>
        <w:ind w:left="0" w:firstLine="0"/>
        <w:rPr>
          <w:bCs/>
        </w:rPr>
      </w:pPr>
      <w:r>
        <w:rPr>
          <w:rFonts w:hint="eastAsia"/>
          <w:bCs/>
        </w:rPr>
        <w:t>投标人应具有相应生产证明，若非原厂商需提供原厂商授权书（原件或加盖投标单位公章的彩色打印件）；</w:t>
      </w:r>
    </w:p>
    <w:p w14:paraId="435C26F2">
      <w:pPr>
        <w:pStyle w:val="76"/>
        <w:numPr>
          <w:ilvl w:val="0"/>
          <w:numId w:val="15"/>
        </w:numPr>
        <w:ind w:left="0" w:firstLine="0"/>
        <w:rPr>
          <w:bCs/>
        </w:rPr>
      </w:pPr>
      <w:r>
        <w:rPr>
          <w:rFonts w:hint="eastAsia"/>
          <w:bCs/>
        </w:rPr>
        <w:t>证明投标人满足投标资料表中列出的业绩要求的文件；</w:t>
      </w:r>
    </w:p>
    <w:p w14:paraId="11631BB4">
      <w:pPr>
        <w:pStyle w:val="76"/>
        <w:numPr>
          <w:ilvl w:val="0"/>
          <w:numId w:val="15"/>
        </w:numPr>
        <w:ind w:left="0" w:firstLine="0"/>
        <w:rPr>
          <w:bCs/>
        </w:rPr>
      </w:pPr>
      <w:r>
        <w:rPr>
          <w:rFonts w:hint="eastAsia"/>
          <w:bCs/>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35FBEE33">
      <w:pPr>
        <w:pStyle w:val="76"/>
        <w:numPr>
          <w:ilvl w:val="0"/>
          <w:numId w:val="15"/>
        </w:numPr>
        <w:rPr>
          <w:bCs/>
        </w:rPr>
      </w:pPr>
      <w:r>
        <w:rPr>
          <w:rFonts w:hint="eastAsia"/>
          <w:bCs/>
        </w:rPr>
        <w:t>企业最近半年完税证明、信用证明材料（征信报告）；</w:t>
      </w:r>
    </w:p>
    <w:p w14:paraId="7EE37366">
      <w:pPr>
        <w:pStyle w:val="76"/>
        <w:numPr>
          <w:ilvl w:val="0"/>
          <w:numId w:val="15"/>
        </w:numPr>
        <w:rPr>
          <w:bCs/>
        </w:rPr>
      </w:pPr>
      <w:r>
        <w:rPr>
          <w:rFonts w:hint="eastAsia"/>
          <w:bCs/>
        </w:rPr>
        <w:t>年度纳税信用评价信息（可从电子税务局查询截图，需加盖公章）；</w:t>
      </w:r>
    </w:p>
    <w:p w14:paraId="05080127">
      <w:pPr>
        <w:pStyle w:val="76"/>
        <w:numPr>
          <w:ilvl w:val="0"/>
          <w:numId w:val="15"/>
        </w:numPr>
        <w:rPr>
          <w:bCs/>
        </w:rPr>
      </w:pPr>
      <w:r>
        <w:rPr>
          <w:rFonts w:hint="eastAsia"/>
          <w:bCs/>
        </w:rPr>
        <w:t>企业对外担保说明（写明贵单位对外有无对外担保和质押业务，需加盖公章）。</w:t>
      </w:r>
    </w:p>
    <w:p w14:paraId="5B742072">
      <w:pPr>
        <w:pStyle w:val="76"/>
        <w:numPr>
          <w:ilvl w:val="0"/>
          <w:numId w:val="15"/>
        </w:numPr>
        <w:rPr>
          <w:bCs/>
        </w:rPr>
      </w:pPr>
      <w:r>
        <w:rPr>
          <w:rFonts w:hint="eastAsia"/>
          <w:bCs/>
        </w:rPr>
        <w:t>信用中国截图或国家企业信用信息公示系统截图；</w:t>
      </w:r>
    </w:p>
    <w:p w14:paraId="5C089DCB">
      <w:pPr>
        <w:pStyle w:val="76"/>
        <w:numPr>
          <w:ilvl w:val="0"/>
          <w:numId w:val="15"/>
        </w:numPr>
        <w:rPr>
          <w:bCs/>
        </w:rPr>
      </w:pPr>
      <w:r>
        <w:rPr>
          <w:rFonts w:hint="eastAsia"/>
          <w:bCs/>
        </w:rPr>
        <w:t>投标保证金缴纳凭证，同时正文描述付款账号、户名、开户行名称、开户行行号、保证金金额。</w:t>
      </w:r>
    </w:p>
    <w:p w14:paraId="51177828">
      <w:pPr>
        <w:pStyle w:val="76"/>
        <w:numPr>
          <w:ilvl w:val="0"/>
          <w:numId w:val="15"/>
        </w:numPr>
        <w:rPr>
          <w:bCs/>
        </w:rPr>
      </w:pPr>
      <w:r>
        <w:rPr>
          <w:rFonts w:hint="eastAsia"/>
          <w:bCs/>
        </w:rPr>
        <w:t>招标文件中要求的其它资格证明文件。</w:t>
      </w:r>
    </w:p>
    <w:p w14:paraId="1BEC2767">
      <w:pPr>
        <w:pStyle w:val="76"/>
        <w:numPr>
          <w:ilvl w:val="0"/>
          <w:numId w:val="16"/>
        </w:numPr>
        <w:ind w:left="10" w:firstLine="0"/>
        <w:rPr>
          <w:bCs/>
        </w:rPr>
      </w:pPr>
      <w:r>
        <w:rPr>
          <w:rFonts w:hint="eastAsia"/>
          <w:bCs/>
        </w:rPr>
        <w:t>对于投标人资质审核不通过的，招标人有权拒绝其投标。</w:t>
      </w:r>
    </w:p>
    <w:p w14:paraId="7E8C3433">
      <w:pPr>
        <w:pStyle w:val="75"/>
        <w:numPr>
          <w:ilvl w:val="0"/>
          <w:numId w:val="14"/>
        </w:numPr>
        <w:rPr>
          <w:b w:val="0"/>
          <w:bCs/>
          <w:highlight w:val="yellow"/>
        </w:rPr>
      </w:pPr>
      <w:r>
        <w:rPr>
          <w:rFonts w:hint="eastAsia"/>
          <w:b w:val="0"/>
          <w:bCs/>
          <w:highlight w:val="yellow"/>
        </w:rPr>
        <w:t>技术标：</w:t>
      </w:r>
    </w:p>
    <w:p w14:paraId="709DAFE0">
      <w:pPr>
        <w:pStyle w:val="76"/>
        <w:numPr>
          <w:ilvl w:val="0"/>
          <w:numId w:val="0"/>
        </w:numPr>
        <w:rPr>
          <w:bCs/>
        </w:rPr>
      </w:pPr>
      <w:r>
        <w:rPr>
          <w:rFonts w:hint="eastAsia"/>
          <w:lang w:val="zh-TW" w:eastAsia="zh-TW"/>
        </w:rPr>
        <w:t>（</w:t>
      </w:r>
      <w:r>
        <w:rPr>
          <w:bCs/>
        </w:rPr>
        <w:t>1</w:t>
      </w:r>
      <w:r>
        <w:rPr>
          <w:rFonts w:hint="eastAsia"/>
          <w:bCs/>
        </w:rPr>
        <w:t>）技术规格偏离表（附件</w:t>
      </w:r>
      <w:r>
        <w:rPr>
          <w:bCs/>
        </w:rPr>
        <w:t>3</w:t>
      </w:r>
      <w:r>
        <w:rPr>
          <w:rFonts w:hint="eastAsia"/>
          <w:bCs/>
        </w:rPr>
        <w:t>）；必须先进行两列要求一一对照，不允许直接写无偏离；</w:t>
      </w:r>
    </w:p>
    <w:p w14:paraId="3D999A44">
      <w:pPr>
        <w:pStyle w:val="76"/>
        <w:numPr>
          <w:ilvl w:val="0"/>
          <w:numId w:val="0"/>
        </w:numPr>
        <w:rPr>
          <w:bCs/>
        </w:rPr>
      </w:pPr>
      <w:r>
        <w:rPr>
          <w:bCs/>
        </w:rPr>
        <w:t xml:space="preserve">（2）近三年同类项目业绩一览表及有效合同复印件（附件4）； </w:t>
      </w:r>
    </w:p>
    <w:p w14:paraId="6C42AD47">
      <w:pPr>
        <w:pStyle w:val="76"/>
        <w:numPr>
          <w:ilvl w:val="0"/>
          <w:numId w:val="0"/>
        </w:numPr>
        <w:rPr>
          <w:bCs/>
        </w:rPr>
      </w:pPr>
      <w:r>
        <w:rPr>
          <w:rFonts w:hint="eastAsia"/>
          <w:bCs/>
        </w:rPr>
        <w:t>（</w:t>
      </w:r>
      <w:r>
        <w:rPr>
          <w:bCs/>
        </w:rPr>
        <w:t>3</w:t>
      </w:r>
      <w:r>
        <w:rPr>
          <w:rFonts w:hint="eastAsia"/>
          <w:bCs/>
        </w:rPr>
        <w:t>）针对项目的技术服务团队情况（人员数量、姓名、电话、专业资质等）；</w:t>
      </w:r>
    </w:p>
    <w:p w14:paraId="50D687F8">
      <w:pPr>
        <w:pStyle w:val="76"/>
        <w:numPr>
          <w:ilvl w:val="0"/>
          <w:numId w:val="0"/>
        </w:numPr>
        <w:rPr>
          <w:bCs/>
        </w:rPr>
      </w:pPr>
      <w:r>
        <w:rPr>
          <w:rFonts w:hint="eastAsia"/>
          <w:bCs/>
        </w:rPr>
        <w:t>（</w:t>
      </w:r>
      <w:r>
        <w:rPr>
          <w:bCs/>
        </w:rPr>
        <w:t>4</w:t>
      </w:r>
      <w:r>
        <w:rPr>
          <w:rFonts w:hint="eastAsia"/>
          <w:bCs/>
        </w:rPr>
        <w:t>）服务承诺函（附件7）；</w:t>
      </w:r>
    </w:p>
    <w:p w14:paraId="3A1C4CE5">
      <w:pPr>
        <w:pStyle w:val="76"/>
        <w:numPr>
          <w:ilvl w:val="0"/>
          <w:numId w:val="0"/>
        </w:numPr>
        <w:rPr>
          <w:bCs/>
        </w:rPr>
      </w:pPr>
      <w:r>
        <w:rPr>
          <w:rFonts w:hint="eastAsia"/>
          <w:bCs/>
        </w:rPr>
        <w:t>（</w:t>
      </w:r>
      <w:r>
        <w:rPr>
          <w:bCs/>
        </w:rPr>
        <w:t>5</w:t>
      </w:r>
      <w:r>
        <w:rPr>
          <w:rFonts w:hint="eastAsia"/>
          <w:bCs/>
        </w:rPr>
        <w:t>）投标人需提交的其它资料（若有）。</w:t>
      </w:r>
    </w:p>
    <w:p w14:paraId="273AD520">
      <w:pPr>
        <w:pStyle w:val="76"/>
        <w:numPr>
          <w:ilvl w:val="0"/>
          <w:numId w:val="0"/>
        </w:numPr>
        <w:rPr>
          <w:bCs/>
        </w:rPr>
      </w:pPr>
    </w:p>
    <w:p w14:paraId="7CCE88F5">
      <w:pPr>
        <w:pStyle w:val="76"/>
        <w:numPr>
          <w:ilvl w:val="0"/>
          <w:numId w:val="0"/>
        </w:numPr>
        <w:rPr>
          <w:bCs/>
        </w:rPr>
      </w:pPr>
    </w:p>
    <w:p w14:paraId="250BE9B8">
      <w:pPr>
        <w:pStyle w:val="75"/>
        <w:numPr>
          <w:ilvl w:val="0"/>
          <w:numId w:val="14"/>
        </w:numPr>
        <w:rPr>
          <w:b w:val="0"/>
          <w:bCs/>
        </w:rPr>
      </w:pPr>
      <w:r>
        <w:rPr>
          <w:rFonts w:hint="eastAsia"/>
          <w:b w:val="0"/>
          <w:bCs/>
        </w:rPr>
        <w:t>商务标：</w:t>
      </w:r>
    </w:p>
    <w:p w14:paraId="64E3AC7D">
      <w:pPr>
        <w:pStyle w:val="76"/>
        <w:numPr>
          <w:ilvl w:val="0"/>
          <w:numId w:val="17"/>
        </w:numPr>
        <w:rPr>
          <w:bCs/>
          <w:highlight w:val="yellow"/>
        </w:rPr>
      </w:pPr>
      <w:r>
        <w:rPr>
          <w:rFonts w:hint="eastAsia"/>
          <w:bCs/>
          <w:highlight w:val="yellow"/>
        </w:rPr>
        <w:t>开标一览表</w:t>
      </w:r>
    </w:p>
    <w:p w14:paraId="0E0A0185">
      <w:pPr>
        <w:pStyle w:val="76"/>
        <w:numPr>
          <w:ilvl w:val="0"/>
          <w:numId w:val="17"/>
        </w:numPr>
        <w:rPr>
          <w:bCs/>
          <w:highlight w:val="yellow"/>
        </w:rPr>
      </w:pPr>
      <w:r>
        <w:rPr>
          <w:rFonts w:hint="eastAsia"/>
          <w:bCs/>
          <w:highlight w:val="yellow"/>
        </w:rPr>
        <w:t>投标函（格式见附件）;</w:t>
      </w:r>
    </w:p>
    <w:p w14:paraId="30B2A909">
      <w:pPr>
        <w:pStyle w:val="76"/>
        <w:numPr>
          <w:ilvl w:val="0"/>
          <w:numId w:val="17"/>
        </w:numPr>
        <w:rPr>
          <w:bCs/>
          <w:highlight w:val="yellow"/>
        </w:rPr>
      </w:pPr>
      <w:r>
        <w:rPr>
          <w:rFonts w:hint="eastAsia"/>
          <w:bCs/>
          <w:highlight w:val="yellow"/>
        </w:rPr>
        <w:t>商务条款偏离表(商务条款偏离表)；</w:t>
      </w:r>
      <w:r>
        <w:rPr>
          <w:rFonts w:hint="eastAsia" w:ascii="宋体" w:hAnsi="Courier New" w:eastAsia="宋体" w:cs="Times New Roman"/>
          <w:bCs/>
          <w:highlight w:val="yellow"/>
        </w:rPr>
        <w:t>付款方式及比例不可以偏离</w:t>
      </w:r>
    </w:p>
    <w:p w14:paraId="707E19A2">
      <w:pPr>
        <w:pStyle w:val="76"/>
        <w:numPr>
          <w:ilvl w:val="0"/>
          <w:numId w:val="17"/>
        </w:numPr>
        <w:rPr>
          <w:bCs/>
          <w:highlight w:val="yellow"/>
        </w:rPr>
      </w:pPr>
      <w:r>
        <w:rPr>
          <w:rFonts w:hint="eastAsia"/>
          <w:bCs/>
          <w:highlight w:val="yellow"/>
        </w:rPr>
        <w:t>投标货物分项报价表；</w:t>
      </w:r>
    </w:p>
    <w:p w14:paraId="172B5355">
      <w:pPr>
        <w:pStyle w:val="76"/>
        <w:numPr>
          <w:ilvl w:val="0"/>
          <w:numId w:val="17"/>
        </w:numPr>
        <w:rPr>
          <w:bCs/>
        </w:rPr>
      </w:pPr>
      <w:r>
        <w:rPr>
          <w:rFonts w:hint="eastAsia"/>
          <w:bCs/>
          <w:highlight w:val="yellow"/>
        </w:rPr>
        <w:t>备配件目录价格及折扣报价表</w:t>
      </w:r>
    </w:p>
    <w:p w14:paraId="2B552259">
      <w:pPr>
        <w:pStyle w:val="76"/>
        <w:numPr>
          <w:ilvl w:val="0"/>
          <w:numId w:val="16"/>
        </w:numPr>
        <w:ind w:left="10" w:firstLine="0"/>
        <w:rPr>
          <w:bCs/>
        </w:rPr>
      </w:pPr>
      <w:r>
        <w:rPr>
          <w:rFonts w:hint="eastAsia"/>
          <w:bCs/>
        </w:rPr>
        <w:t>商务报价注意内容：最高投标限价（招标控制价）：人民币</w:t>
      </w:r>
      <w:r>
        <w:rPr>
          <w:bCs/>
          <w:u w:val="single"/>
        </w:rPr>
        <w:t>299.816</w:t>
      </w:r>
      <w:r>
        <w:rPr>
          <w:rFonts w:hint="eastAsia"/>
          <w:bCs/>
        </w:rPr>
        <w:t>万元（含</w:t>
      </w:r>
      <w:r>
        <w:rPr>
          <w:bCs/>
          <w:u w:val="single"/>
        </w:rPr>
        <w:t>13</w:t>
      </w:r>
      <w:r>
        <w:rPr>
          <w:rFonts w:hint="eastAsia"/>
          <w:bCs/>
        </w:rPr>
        <w:t>%增值税），超过投标限价无法投标。</w:t>
      </w:r>
    </w:p>
    <w:p w14:paraId="6C32B1EB">
      <w:pPr>
        <w:pStyle w:val="74"/>
        <w:numPr>
          <w:ilvl w:val="0"/>
          <w:numId w:val="13"/>
        </w:numPr>
        <w:ind w:firstLine="0"/>
        <w:rPr>
          <w:b w:val="0"/>
        </w:rPr>
      </w:pPr>
      <w:r>
        <w:rPr>
          <w:rFonts w:hint="eastAsia"/>
          <w:b w:val="0"/>
        </w:rPr>
        <w:t>投标文件的投递</w:t>
      </w:r>
    </w:p>
    <w:p w14:paraId="6B9FC64D">
      <w:pPr>
        <w:pStyle w:val="76"/>
        <w:numPr>
          <w:ilvl w:val="0"/>
          <w:numId w:val="18"/>
        </w:numPr>
        <w:rPr>
          <w:bCs/>
          <w:highlight w:val="yellow"/>
        </w:rPr>
      </w:pPr>
      <w:r>
        <w:rPr>
          <w:rFonts w:hint="eastAsia"/>
          <w:bCs/>
          <w:highlight w:val="yellow"/>
        </w:rPr>
        <w:t>投标方式：</w:t>
      </w:r>
      <w:r>
        <w:rPr>
          <w:rFonts w:hint="eastAsia"/>
        </w:rPr>
        <w:t>在重汽e采通平台应标成功后，进入“供应商投标”环节，投递盖章扫描版电子标书（包含资质标书、技术标书、商务标书），若逾期未完成重汽e采通上传标书，一律视为无效投标。</w:t>
      </w:r>
    </w:p>
    <w:p w14:paraId="636BF6BC">
      <w:pPr>
        <w:pStyle w:val="76"/>
        <w:numPr>
          <w:ilvl w:val="0"/>
          <w:numId w:val="18"/>
        </w:numPr>
        <w:rPr>
          <w:bCs/>
        </w:rPr>
      </w:pPr>
      <w:r>
        <w:rPr>
          <w:rFonts w:hint="eastAsia"/>
          <w:bCs/>
        </w:rPr>
        <w:t>投标文件递交截止时间：</w:t>
      </w:r>
      <w:r>
        <w:rPr>
          <w:rFonts w:hint="eastAsia"/>
          <w:bCs/>
          <w:highlight w:val="yellow"/>
        </w:rPr>
        <w:t>20</w:t>
      </w:r>
      <w:r>
        <w:rPr>
          <w:bCs/>
          <w:highlight w:val="yellow"/>
        </w:rPr>
        <w:t>26</w:t>
      </w:r>
      <w:r>
        <w:rPr>
          <w:rFonts w:hint="eastAsia"/>
          <w:bCs/>
          <w:highlight w:val="yellow"/>
        </w:rPr>
        <w:t>年</w:t>
      </w:r>
      <w:r>
        <w:rPr>
          <w:bCs/>
          <w:highlight w:val="yellow"/>
        </w:rPr>
        <w:t>10</w:t>
      </w:r>
      <w:r>
        <w:rPr>
          <w:rFonts w:hint="eastAsia"/>
          <w:bCs/>
          <w:highlight w:val="yellow"/>
        </w:rPr>
        <w:t>月</w:t>
      </w:r>
      <w:r>
        <w:rPr>
          <w:bCs/>
          <w:highlight w:val="yellow"/>
        </w:rPr>
        <w:t>2</w:t>
      </w:r>
      <w:r>
        <w:rPr>
          <w:rFonts w:hint="eastAsia"/>
          <w:bCs/>
          <w:highlight w:val="yellow"/>
          <w:lang w:val="en-US" w:eastAsia="zh-CN"/>
        </w:rPr>
        <w:t>2</w:t>
      </w:r>
      <w:r>
        <w:rPr>
          <w:rFonts w:hint="eastAsia"/>
          <w:bCs/>
          <w:highlight w:val="yellow"/>
        </w:rPr>
        <w:t>日</w:t>
      </w:r>
      <w:r>
        <w:rPr>
          <w:rFonts w:hint="eastAsia"/>
          <w:bCs/>
          <w:highlight w:val="yellow"/>
          <w:lang w:val="en-US" w:eastAsia="zh-CN"/>
        </w:rPr>
        <w:t>上午</w:t>
      </w:r>
      <w:r>
        <w:rPr>
          <w:rFonts w:hint="eastAsia"/>
          <w:highlight w:val="yellow"/>
          <w:lang w:val="en-US" w:eastAsia="zh-CN"/>
        </w:rPr>
        <w:t>9</w:t>
      </w:r>
      <w:r>
        <w:rPr>
          <w:rFonts w:hint="eastAsia"/>
          <w:highlight w:val="yellow"/>
          <w:lang w:eastAsia="zh-CN"/>
        </w:rPr>
        <w:t>：</w:t>
      </w:r>
      <w:r>
        <w:rPr>
          <w:rFonts w:hint="eastAsia"/>
          <w:highlight w:val="yellow"/>
        </w:rPr>
        <w:t>00</w:t>
      </w:r>
    </w:p>
    <w:p w14:paraId="6038D12F">
      <w:pPr>
        <w:pStyle w:val="73"/>
      </w:pPr>
      <w:bookmarkStart w:id="5" w:name="_Toc47976601"/>
      <w:r>
        <w:rPr>
          <w:rFonts w:hint="eastAsia"/>
        </w:rPr>
        <w:t>投标保证金收取、缴纳有效期及罚没</w:t>
      </w:r>
    </w:p>
    <w:p w14:paraId="1756FEA5">
      <w:pPr>
        <w:pStyle w:val="73"/>
        <w:numPr>
          <w:ilvl w:val="0"/>
          <w:numId w:val="19"/>
        </w:numPr>
        <w:rPr>
          <w:rFonts w:ascii="宋体" w:hAnsi="宋体" w:eastAsia="宋体" w:cs="宋体"/>
          <w:b w:val="0"/>
          <w:bCs w:val="0"/>
          <w:sz w:val="21"/>
          <w:szCs w:val="21"/>
          <w:u w:val="single"/>
        </w:rPr>
      </w:pPr>
      <w:r>
        <w:rPr>
          <w:rFonts w:hint="eastAsia" w:ascii="宋体" w:hAnsi="宋体" w:eastAsia="宋体" w:cs="宋体"/>
          <w:b w:val="0"/>
          <w:bCs w:val="0"/>
          <w:sz w:val="21"/>
          <w:szCs w:val="21"/>
        </w:rPr>
        <w:t>投标保证金的缴纳</w:t>
      </w:r>
    </w:p>
    <w:p w14:paraId="2BAA217E">
      <w:pPr>
        <w:pStyle w:val="73"/>
        <w:numPr>
          <w:ilvl w:val="0"/>
          <w:numId w:val="20"/>
        </w:numPr>
        <w:rPr>
          <w:rFonts w:ascii="宋体" w:hAnsi="宋体" w:eastAsia="宋体" w:cs="宋体"/>
          <w:b w:val="0"/>
          <w:bCs w:val="0"/>
          <w:sz w:val="21"/>
          <w:szCs w:val="21"/>
        </w:rPr>
      </w:pPr>
      <w:r>
        <w:rPr>
          <w:rFonts w:hint="eastAsia" w:ascii="宋体" w:hAnsi="宋体" w:eastAsia="宋体" w:cs="宋体"/>
          <w:b w:val="0"/>
          <w:bCs w:val="0"/>
          <w:sz w:val="21"/>
          <w:szCs w:val="21"/>
        </w:rPr>
        <w:t>投标保证金的缴纳形式：提交银行投标保函或从银行基本账户转账</w:t>
      </w:r>
    </w:p>
    <w:p w14:paraId="1ED29C74">
      <w:pPr>
        <w:pStyle w:val="73"/>
        <w:numPr>
          <w:ilvl w:val="0"/>
          <w:numId w:val="20"/>
        </w:numPr>
        <w:rPr>
          <w:rFonts w:ascii="宋体" w:hAnsi="宋体" w:eastAsia="宋体" w:cs="宋体"/>
          <w:b w:val="0"/>
          <w:bCs w:val="0"/>
          <w:sz w:val="21"/>
          <w:szCs w:val="21"/>
        </w:rPr>
      </w:pPr>
      <w:r>
        <w:rPr>
          <w:rFonts w:hint="eastAsia" w:ascii="宋体" w:hAnsi="宋体" w:eastAsia="宋体" w:cs="宋体"/>
          <w:b w:val="0"/>
          <w:bCs w:val="0"/>
          <w:sz w:val="21"/>
          <w:szCs w:val="21"/>
        </w:rPr>
        <w:t>投标保证金的金额：人民币20000元</w:t>
      </w:r>
    </w:p>
    <w:p w14:paraId="3D3B536D">
      <w:pPr>
        <w:pStyle w:val="76"/>
        <w:numPr>
          <w:ilvl w:val="0"/>
          <w:numId w:val="16"/>
        </w:numPr>
        <w:ind w:left="10" w:firstLine="0"/>
        <w:rPr>
          <w:rFonts w:hint="eastAsia" w:ascii="宋体" w:hAnsi="宋体" w:eastAsia="宋体" w:cs="宋体"/>
          <w:b w:val="0"/>
          <w:bCs w:val="0"/>
          <w:sz w:val="21"/>
          <w:szCs w:val="21"/>
        </w:rPr>
      </w:pPr>
      <w:r>
        <w:rPr>
          <w:rFonts w:hint="eastAsia" w:hAnsi="宋体" w:cs="宋体"/>
          <w:b w:val="0"/>
          <w:bCs w:val="0"/>
          <w:sz w:val="21"/>
          <w:szCs w:val="21"/>
          <w:lang w:val="en-US" w:eastAsia="zh-CN"/>
        </w:rPr>
        <w:t>开户</w:t>
      </w:r>
      <w:r>
        <w:rPr>
          <w:rFonts w:hint="eastAsia" w:ascii="宋体" w:hAnsi="宋体" w:eastAsia="宋体" w:cs="宋体"/>
          <w:b w:val="0"/>
          <w:bCs w:val="0"/>
          <w:sz w:val="21"/>
          <w:szCs w:val="21"/>
        </w:rPr>
        <w:t>名称：中国重汽集团济南动力有限公司</w:t>
      </w:r>
    </w:p>
    <w:p w14:paraId="532A68B6">
      <w:pPr>
        <w:pStyle w:val="76"/>
        <w:numPr>
          <w:ilvl w:val="0"/>
          <w:numId w:val="16"/>
        </w:numPr>
        <w:ind w:left="10" w:firstLine="0"/>
        <w:rPr>
          <w:rFonts w:hint="eastAsia" w:ascii="宋体" w:hAnsi="宋体" w:eastAsia="宋体" w:cs="宋体"/>
          <w:b w:val="0"/>
          <w:bCs w:val="0"/>
          <w:sz w:val="21"/>
          <w:szCs w:val="21"/>
        </w:rPr>
      </w:pPr>
      <w:r>
        <w:rPr>
          <w:rFonts w:hint="eastAsia" w:ascii="宋体" w:hAnsi="宋体" w:eastAsia="宋体" w:cs="宋体"/>
          <w:b w:val="0"/>
          <w:bCs w:val="0"/>
          <w:sz w:val="21"/>
          <w:szCs w:val="21"/>
        </w:rPr>
        <w:t>收款账号：37001616508050150300</w:t>
      </w:r>
    </w:p>
    <w:p w14:paraId="5D9277D3">
      <w:pPr>
        <w:pStyle w:val="76"/>
        <w:numPr>
          <w:ilvl w:val="0"/>
          <w:numId w:val="16"/>
        </w:numPr>
        <w:ind w:left="10" w:firstLine="0"/>
        <w:rPr>
          <w:rFonts w:hint="eastAsia" w:ascii="宋体" w:hAnsi="宋体" w:eastAsia="宋体" w:cs="宋体"/>
          <w:b w:val="0"/>
          <w:bCs w:val="0"/>
          <w:sz w:val="21"/>
          <w:szCs w:val="21"/>
        </w:rPr>
      </w:pPr>
      <w:r>
        <w:rPr>
          <w:rFonts w:hint="eastAsia" w:ascii="宋体" w:hAnsi="宋体" w:eastAsia="宋体" w:cs="宋体"/>
          <w:b w:val="0"/>
          <w:bCs w:val="0"/>
          <w:sz w:val="21"/>
          <w:szCs w:val="21"/>
        </w:rPr>
        <w:t>开户行名称：中国建设银行股份有限公司济南天桥支行</w:t>
      </w:r>
    </w:p>
    <w:p w14:paraId="6D951919">
      <w:pPr>
        <w:pStyle w:val="76"/>
        <w:numPr>
          <w:ilvl w:val="0"/>
          <w:numId w:val="16"/>
        </w:numPr>
        <w:ind w:left="10" w:firstLine="0"/>
        <w:rPr>
          <w:bCs/>
        </w:rPr>
      </w:pPr>
      <w:r>
        <w:rPr>
          <w:rFonts w:hint="eastAsia" w:ascii="宋体" w:hAnsi="宋体" w:eastAsia="宋体" w:cs="宋体"/>
          <w:b w:val="0"/>
          <w:bCs w:val="0"/>
          <w:sz w:val="21"/>
          <w:szCs w:val="21"/>
        </w:rPr>
        <w:t>开户行行号：105451000362</w:t>
      </w:r>
    </w:p>
    <w:p w14:paraId="09D54CC0">
      <w:pPr>
        <w:pStyle w:val="76"/>
        <w:numPr>
          <w:ilvl w:val="0"/>
          <w:numId w:val="16"/>
        </w:numPr>
        <w:ind w:left="10" w:firstLine="0"/>
        <w:rPr>
          <w:bCs/>
        </w:rPr>
      </w:pPr>
      <w:r>
        <w:rPr>
          <w:rFonts w:hint="eastAsia"/>
          <w:bCs/>
        </w:rPr>
        <w:t>转账附言：公司名称+项目名称+投标保证金。</w:t>
      </w:r>
    </w:p>
    <w:p w14:paraId="1F8D6922">
      <w:pPr>
        <w:pStyle w:val="73"/>
        <w:numPr>
          <w:ilvl w:val="0"/>
          <w:numId w:val="0"/>
        </w:numPr>
        <w:ind w:left="425" w:hanging="425"/>
        <w:rPr>
          <w:rFonts w:ascii="宋体" w:hAnsi="宋体" w:eastAsia="宋体" w:cs="宋体"/>
          <w:b w:val="0"/>
          <w:bCs w:val="0"/>
          <w:sz w:val="21"/>
          <w:szCs w:val="21"/>
        </w:rPr>
      </w:pPr>
      <w:r>
        <w:rPr>
          <w:rFonts w:ascii="宋体" w:hAnsi="宋体" w:eastAsia="宋体" w:cs="宋体"/>
          <w:b w:val="0"/>
          <w:bCs w:val="0"/>
          <w:sz w:val="21"/>
          <w:szCs w:val="21"/>
        </w:rPr>
        <w:t>(</w:t>
      </w:r>
      <w:r>
        <w:rPr>
          <w:rFonts w:hint="eastAsia" w:ascii="宋体" w:hAnsi="宋体" w:eastAsia="宋体" w:cs="宋体"/>
          <w:b w:val="0"/>
          <w:bCs w:val="0"/>
          <w:sz w:val="21"/>
          <w:szCs w:val="21"/>
        </w:rPr>
        <w:t>4</w:t>
      </w:r>
      <w:r>
        <w:rPr>
          <w:rFonts w:ascii="宋体" w:hAnsi="宋体" w:eastAsia="宋体" w:cs="宋体"/>
          <w:b w:val="0"/>
          <w:bCs w:val="0"/>
          <w:sz w:val="21"/>
          <w:szCs w:val="21"/>
        </w:rPr>
        <w:t>)</w:t>
      </w:r>
      <w:r>
        <w:rPr>
          <w:rFonts w:hint="eastAsia" w:ascii="宋体" w:hAnsi="宋体" w:eastAsia="宋体" w:cs="宋体"/>
          <w:b w:val="0"/>
          <w:bCs w:val="0"/>
          <w:sz w:val="21"/>
          <w:szCs w:val="21"/>
          <w:highlight w:val="yellow"/>
        </w:rPr>
        <w:t>保证金缴纳截止时间：202</w:t>
      </w:r>
      <w:r>
        <w:rPr>
          <w:rFonts w:ascii="宋体" w:hAnsi="宋体" w:eastAsia="宋体" w:cs="宋体"/>
          <w:b w:val="0"/>
          <w:bCs w:val="0"/>
          <w:sz w:val="21"/>
          <w:szCs w:val="21"/>
          <w:highlight w:val="yellow"/>
        </w:rPr>
        <w:t>6</w:t>
      </w:r>
      <w:r>
        <w:rPr>
          <w:rFonts w:hint="eastAsia" w:ascii="宋体" w:hAnsi="宋体" w:eastAsia="宋体" w:cs="宋体"/>
          <w:b w:val="0"/>
          <w:bCs w:val="0"/>
          <w:sz w:val="21"/>
          <w:szCs w:val="21"/>
          <w:highlight w:val="yellow"/>
        </w:rPr>
        <w:t>年</w:t>
      </w:r>
      <w:r>
        <w:rPr>
          <w:rFonts w:ascii="宋体" w:hAnsi="宋体" w:eastAsia="宋体" w:cs="宋体"/>
          <w:b w:val="0"/>
          <w:bCs w:val="0"/>
          <w:sz w:val="21"/>
          <w:szCs w:val="21"/>
          <w:highlight w:val="yellow"/>
        </w:rPr>
        <w:t>10</w:t>
      </w:r>
      <w:r>
        <w:rPr>
          <w:rFonts w:hint="eastAsia" w:ascii="宋体" w:hAnsi="宋体" w:eastAsia="宋体" w:cs="宋体"/>
          <w:b w:val="0"/>
          <w:bCs w:val="0"/>
          <w:sz w:val="21"/>
          <w:szCs w:val="21"/>
          <w:highlight w:val="yellow"/>
        </w:rPr>
        <w:t>月</w:t>
      </w:r>
      <w:r>
        <w:rPr>
          <w:rFonts w:hint="eastAsia" w:ascii="宋体" w:hAnsi="宋体" w:eastAsia="宋体" w:cs="宋体"/>
          <w:b w:val="0"/>
          <w:bCs w:val="0"/>
          <w:sz w:val="21"/>
          <w:szCs w:val="21"/>
          <w:highlight w:val="yellow"/>
          <w:lang w:val="en-US" w:eastAsia="zh-CN"/>
        </w:rPr>
        <w:t>1</w:t>
      </w:r>
      <w:r>
        <w:rPr>
          <w:rFonts w:ascii="宋体" w:hAnsi="宋体" w:eastAsia="宋体" w:cs="宋体"/>
          <w:b w:val="0"/>
          <w:bCs w:val="0"/>
          <w:sz w:val="21"/>
          <w:szCs w:val="21"/>
          <w:highlight w:val="yellow"/>
        </w:rPr>
        <w:t>5</w:t>
      </w:r>
      <w:r>
        <w:rPr>
          <w:rFonts w:hint="eastAsia" w:ascii="宋体" w:hAnsi="宋体" w:eastAsia="宋体" w:cs="宋体"/>
          <w:b w:val="0"/>
          <w:bCs w:val="0"/>
          <w:sz w:val="21"/>
          <w:szCs w:val="21"/>
          <w:highlight w:val="yellow"/>
        </w:rPr>
        <w:t>日</w:t>
      </w:r>
      <w:r>
        <w:rPr>
          <w:rFonts w:ascii="宋体" w:hAnsi="宋体" w:eastAsia="宋体" w:cs="宋体"/>
          <w:b w:val="0"/>
          <w:bCs w:val="0"/>
          <w:sz w:val="21"/>
          <w:szCs w:val="21"/>
          <w:highlight w:val="yellow"/>
        </w:rPr>
        <w:t>17</w:t>
      </w:r>
      <w:r>
        <w:rPr>
          <w:rFonts w:hint="eastAsia" w:ascii="宋体" w:hAnsi="宋体" w:eastAsia="宋体" w:cs="宋体"/>
          <w:b w:val="0"/>
          <w:bCs w:val="0"/>
          <w:sz w:val="21"/>
          <w:szCs w:val="21"/>
          <w:highlight w:val="yellow"/>
        </w:rPr>
        <w:t>：</w:t>
      </w:r>
      <w:r>
        <w:rPr>
          <w:rFonts w:ascii="宋体" w:hAnsi="宋体" w:eastAsia="宋体" w:cs="宋体"/>
          <w:b w:val="0"/>
          <w:bCs w:val="0"/>
          <w:sz w:val="21"/>
          <w:szCs w:val="21"/>
          <w:highlight w:val="yellow"/>
        </w:rPr>
        <w:t>00</w:t>
      </w:r>
      <w:r>
        <w:rPr>
          <w:rFonts w:hint="eastAsia" w:ascii="宋体" w:hAnsi="宋体" w:eastAsia="宋体" w:cs="宋体"/>
          <w:b w:val="0"/>
          <w:bCs w:val="0"/>
          <w:sz w:val="21"/>
          <w:szCs w:val="21"/>
          <w:highlight w:val="yellow"/>
        </w:rPr>
        <w:t>前（同应标截止时间）</w:t>
      </w:r>
    </w:p>
    <w:p w14:paraId="31ED7C64">
      <w:pPr>
        <w:pStyle w:val="73"/>
        <w:numPr>
          <w:ilvl w:val="0"/>
          <w:numId w:val="19"/>
        </w:numPr>
        <w:ind w:left="0" w:firstLine="0"/>
        <w:rPr>
          <w:rFonts w:ascii="宋体" w:hAnsi="宋体" w:eastAsia="宋体" w:cs="宋体"/>
          <w:b w:val="0"/>
          <w:bCs w:val="0"/>
          <w:sz w:val="21"/>
          <w:szCs w:val="21"/>
        </w:rPr>
      </w:pPr>
      <w:r>
        <w:rPr>
          <w:rFonts w:hint="eastAsia" w:ascii="宋体" w:hAnsi="宋体" w:eastAsia="宋体" w:cs="宋体"/>
          <w:b w:val="0"/>
          <w:bCs w:val="0"/>
          <w:sz w:val="21"/>
          <w:szCs w:val="21"/>
        </w:rPr>
        <w:t>选择提交银行投标保函的拟投标人，应在开标时提交投标保函正本，作为《投标文件》的一部分，该投标保函应是不可撤销的“见索即付”保函，保函有效期应满足投标有效期要求，由招标人留存保函正本。</w:t>
      </w:r>
    </w:p>
    <w:p w14:paraId="09A32BA4">
      <w:pPr>
        <w:pStyle w:val="73"/>
        <w:numPr>
          <w:ilvl w:val="0"/>
          <w:numId w:val="19"/>
        </w:numPr>
        <w:ind w:left="0" w:firstLine="0"/>
        <w:rPr>
          <w:rFonts w:ascii="宋体" w:hAnsi="宋体" w:eastAsia="仿宋_GB2312" w:cs="宋体"/>
          <w:b w:val="0"/>
          <w:bCs w:val="0"/>
          <w:sz w:val="24"/>
          <w:szCs w:val="24"/>
        </w:rPr>
      </w:pPr>
      <w:r>
        <w:rPr>
          <w:rFonts w:hint="eastAsia" w:ascii="宋体" w:hAnsi="宋体" w:eastAsia="宋体" w:cs="宋体"/>
          <w:b w:val="0"/>
          <w:bCs w:val="0"/>
          <w:sz w:val="21"/>
          <w:szCs w:val="21"/>
        </w:rPr>
        <w:t>选择从银行基本账户转账的拟投标人，须在规定的时间之前将投标保证金从其单位基本帐户转出并到账，否则视为无效投标；未按规定提交保证金的拟投标人，其投标文件视为无效投标。拟投标人应充分考虑银行信息交换时间，由此带来的保证金不能按时到帐的责任由拟投标人自行承担。</w:t>
      </w:r>
    </w:p>
    <w:p w14:paraId="4810978D">
      <w:pPr>
        <w:pStyle w:val="73"/>
        <w:numPr>
          <w:ilvl w:val="0"/>
          <w:numId w:val="19"/>
        </w:numPr>
        <w:tabs>
          <w:tab w:val="clear" w:pos="312"/>
        </w:tabs>
        <w:ind w:left="0" w:firstLine="0"/>
        <w:rPr>
          <w:rFonts w:hint="eastAsia" w:ascii="宋体" w:hAnsi="宋体" w:eastAsia="仿宋_GB2312" w:cs="宋体"/>
          <w:b w:val="0"/>
          <w:bCs w:val="0"/>
          <w:sz w:val="24"/>
          <w:szCs w:val="24"/>
        </w:rPr>
      </w:pPr>
      <w:r>
        <w:rPr>
          <w:rFonts w:hint="eastAsia" w:ascii="宋体" w:hAnsi="宋体" w:eastAsia="宋体" w:cs="宋体"/>
          <w:b w:val="0"/>
          <w:bCs w:val="0"/>
          <w:sz w:val="21"/>
          <w:szCs w:val="21"/>
        </w:rPr>
        <w:t>对对于没有中标的投标人，投标保证金将于招标人内部完成中标人评审并确认最终中标人后一个付款周期予以原路返还（无息）；对于中标方，投标保证金将在签订合同后一个付款周期原路返还（无息）。</w:t>
      </w:r>
    </w:p>
    <w:p w14:paraId="40BE1B9D">
      <w:pPr>
        <w:pStyle w:val="73"/>
        <w:numPr>
          <w:ilvl w:val="0"/>
          <w:numId w:val="19"/>
        </w:numPr>
        <w:ind w:left="0" w:firstLine="0"/>
        <w:rPr>
          <w:rFonts w:ascii="宋体" w:hAnsi="宋体" w:eastAsia="仿宋_GB2312" w:cs="宋体"/>
          <w:b w:val="0"/>
          <w:bCs w:val="0"/>
          <w:sz w:val="24"/>
          <w:szCs w:val="24"/>
        </w:rPr>
      </w:pPr>
      <w:r>
        <w:rPr>
          <w:rFonts w:hint="eastAsia" w:ascii="宋体" w:hAnsi="宋体" w:eastAsia="宋体" w:cs="宋体"/>
          <w:b w:val="0"/>
          <w:bCs w:val="0"/>
          <w:sz w:val="21"/>
          <w:szCs w:val="21"/>
        </w:rPr>
        <w:t>发生以下情况时，有权没收保证金：</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①供应商在提交响应文件截止时间后撤回响应文件的；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②供应商在响应文件中提供虚假材料的；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③除因不可抗力或谈判文件、询价通知书认可的情形以外，成交供应商不与采购人签订合同的；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④供应商与采购人、其他供应商或者采购代理机构恶意串通、围标、陪标的；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⑤供应商有违约违规行为或被投诉、举报的，在调查处理期间，保证金暂不退还，待调查处理结束后按有关规定处理。</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⑥截至开标前3天，投标人无正当理由、未以书面形式向招标人递交说明而在投标截止日不来投标的。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⑦自中标通知书发出之日起30日内，中标人无正当理由投标人无正当签订合同的；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⑧采购文件规定的其他情形。</w:t>
      </w:r>
    </w:p>
    <w:bookmarkEnd w:id="5"/>
    <w:p w14:paraId="251373B3">
      <w:pPr>
        <w:pStyle w:val="73"/>
      </w:pPr>
      <w:r>
        <w:rPr>
          <w:rFonts w:hint="eastAsia"/>
        </w:rPr>
        <w:t>开评标</w:t>
      </w:r>
    </w:p>
    <w:p w14:paraId="107FB6AC">
      <w:pPr>
        <w:pStyle w:val="73"/>
        <w:numPr>
          <w:ilvl w:val="0"/>
          <w:numId w:val="21"/>
        </w:numPr>
        <w:ind w:firstLine="0"/>
        <w:rPr>
          <w:rFonts w:ascii="宋体" w:hAnsi="宋体" w:eastAsia="宋体" w:cs="宋体"/>
          <w:b w:val="0"/>
          <w:bCs w:val="0"/>
          <w:sz w:val="21"/>
          <w:szCs w:val="21"/>
          <w:highlight w:val="yellow"/>
        </w:rPr>
      </w:pPr>
      <w:r>
        <w:rPr>
          <w:rFonts w:hint="eastAsia" w:ascii="宋体" w:hAnsi="宋体" w:eastAsia="宋体" w:cs="宋体"/>
          <w:b w:val="0"/>
          <w:bCs w:val="0"/>
          <w:sz w:val="21"/>
          <w:szCs w:val="21"/>
          <w:highlight w:val="yellow"/>
        </w:rPr>
        <w:t>开标时间：202</w:t>
      </w:r>
      <w:r>
        <w:rPr>
          <w:rFonts w:ascii="宋体" w:hAnsi="宋体" w:eastAsia="宋体" w:cs="宋体"/>
          <w:b w:val="0"/>
          <w:bCs w:val="0"/>
          <w:sz w:val="21"/>
          <w:szCs w:val="21"/>
          <w:highlight w:val="yellow"/>
        </w:rPr>
        <w:t>6</w:t>
      </w:r>
      <w:r>
        <w:rPr>
          <w:rFonts w:hint="eastAsia" w:ascii="宋体" w:hAnsi="宋体" w:eastAsia="宋体" w:cs="宋体"/>
          <w:b w:val="0"/>
          <w:bCs w:val="0"/>
          <w:sz w:val="21"/>
          <w:szCs w:val="21"/>
          <w:highlight w:val="yellow"/>
        </w:rPr>
        <w:t>年</w:t>
      </w:r>
      <w:r>
        <w:rPr>
          <w:rFonts w:ascii="宋体" w:hAnsi="宋体" w:eastAsia="宋体" w:cs="宋体"/>
          <w:b w:val="0"/>
          <w:bCs w:val="0"/>
          <w:sz w:val="21"/>
          <w:szCs w:val="21"/>
          <w:highlight w:val="yellow"/>
        </w:rPr>
        <w:t>10</w:t>
      </w:r>
      <w:r>
        <w:rPr>
          <w:rFonts w:hint="eastAsia" w:ascii="宋体" w:hAnsi="宋体" w:eastAsia="宋体" w:cs="宋体"/>
          <w:b w:val="0"/>
          <w:bCs w:val="0"/>
          <w:sz w:val="21"/>
          <w:szCs w:val="21"/>
          <w:highlight w:val="yellow"/>
        </w:rPr>
        <w:t>月</w:t>
      </w:r>
      <w:r>
        <w:rPr>
          <w:rFonts w:ascii="宋体" w:hAnsi="宋体" w:eastAsia="宋体" w:cs="宋体"/>
          <w:b w:val="0"/>
          <w:bCs w:val="0"/>
          <w:sz w:val="21"/>
          <w:szCs w:val="21"/>
          <w:highlight w:val="yellow"/>
        </w:rPr>
        <w:t>2</w:t>
      </w:r>
      <w:r>
        <w:rPr>
          <w:rFonts w:hint="eastAsia" w:ascii="宋体" w:hAnsi="宋体" w:eastAsia="宋体" w:cs="宋体"/>
          <w:b w:val="0"/>
          <w:bCs w:val="0"/>
          <w:sz w:val="21"/>
          <w:szCs w:val="21"/>
          <w:highlight w:val="yellow"/>
          <w:lang w:val="en-US" w:eastAsia="zh-CN"/>
        </w:rPr>
        <w:t>2</w:t>
      </w:r>
      <w:r>
        <w:rPr>
          <w:rFonts w:hint="eastAsia" w:ascii="宋体" w:hAnsi="宋体" w:eastAsia="宋体" w:cs="宋体"/>
          <w:b w:val="0"/>
          <w:bCs w:val="0"/>
          <w:sz w:val="21"/>
          <w:szCs w:val="21"/>
          <w:highlight w:val="yellow"/>
        </w:rPr>
        <w:t>日上午9：00，若有变动另行通知。</w:t>
      </w:r>
    </w:p>
    <w:p w14:paraId="38B3A1C1">
      <w:pPr>
        <w:pStyle w:val="73"/>
        <w:numPr>
          <w:ilvl w:val="0"/>
          <w:numId w:val="21"/>
        </w:numPr>
        <w:ind w:firstLine="0"/>
        <w:rPr>
          <w:rFonts w:ascii="宋体" w:hAnsi="宋体" w:eastAsia="宋体" w:cs="宋体"/>
          <w:b w:val="0"/>
          <w:bCs w:val="0"/>
          <w:sz w:val="21"/>
          <w:szCs w:val="21"/>
          <w:highlight w:val="yellow"/>
        </w:rPr>
      </w:pPr>
      <w:r>
        <w:rPr>
          <w:rFonts w:hint="eastAsia" w:ascii="宋体" w:hAnsi="宋体" w:eastAsia="宋体" w:cs="宋体"/>
          <w:b w:val="0"/>
          <w:bCs w:val="0"/>
          <w:sz w:val="21"/>
          <w:szCs w:val="21"/>
          <w:highlight w:val="yellow"/>
        </w:rPr>
        <w:t>开标地点：济南市高新区华奥路777号中国重汽未来科技大厦</w:t>
      </w:r>
    </w:p>
    <w:p w14:paraId="2CCA15EA">
      <w:pPr>
        <w:pStyle w:val="73"/>
        <w:numPr>
          <w:ilvl w:val="0"/>
          <w:numId w:val="21"/>
        </w:numPr>
        <w:ind w:firstLine="0"/>
        <w:rPr>
          <w:rFonts w:ascii="宋体" w:hAnsi="宋体" w:eastAsia="宋体" w:cs="宋体"/>
          <w:b w:val="0"/>
          <w:bCs w:val="0"/>
          <w:sz w:val="21"/>
          <w:szCs w:val="21"/>
          <w:highlight w:val="yellow"/>
        </w:rPr>
      </w:pPr>
      <w:r>
        <w:rPr>
          <w:rFonts w:hint="eastAsia" w:ascii="宋体" w:hAnsi="宋体" w:eastAsia="宋体" w:cs="宋体"/>
          <w:b w:val="0"/>
          <w:bCs w:val="0"/>
          <w:sz w:val="21"/>
          <w:szCs w:val="21"/>
          <w:highlight w:val="yellow"/>
        </w:rPr>
        <w:t>开标方式：</w:t>
      </w:r>
    </w:p>
    <w:p w14:paraId="0BA659A9">
      <w:pPr>
        <w:numPr>
          <w:ilvl w:val="0"/>
          <w:numId w:val="22"/>
        </w:numPr>
        <w:spacing w:line="360" w:lineRule="auto"/>
        <w:ind w:left="11" w:firstLine="0"/>
        <w:rPr>
          <w:rFonts w:ascii="宋体" w:hAnsi="宋体" w:cs="宋体"/>
          <w:color w:val="000000"/>
          <w:szCs w:val="21"/>
        </w:rPr>
      </w:pPr>
      <w:r>
        <w:rPr>
          <w:rFonts w:hint="eastAsia" w:ascii="宋体" w:hAnsi="Courier New"/>
          <w:bCs/>
        </w:rPr>
        <w:t>现场招</w:t>
      </w:r>
      <w:r>
        <w:rPr>
          <w:rFonts w:hint="eastAsia" w:ascii="宋体" w:hAnsi="宋体" w:cs="宋体"/>
          <w:szCs w:val="21"/>
        </w:rPr>
        <w:t>标：</w:t>
      </w:r>
      <w:r>
        <w:rPr>
          <w:rFonts w:hint="eastAsia" w:ascii="宋体" w:hAnsi="宋体" w:cs="宋体"/>
          <w:color w:val="000000"/>
          <w:szCs w:val="21"/>
        </w:rPr>
        <w:t>原则上来现场参与开标。如因特殊情况无法现场参与，需在开标前三日，通知招标人，由招标人创建视频链接，并在报名结束后统一通知。</w:t>
      </w:r>
    </w:p>
    <w:p w14:paraId="6123A2A2">
      <w:pPr>
        <w:pStyle w:val="73"/>
        <w:numPr>
          <w:ilvl w:val="0"/>
          <w:numId w:val="22"/>
        </w:numPr>
        <w:ind w:left="11" w:firstLine="0"/>
        <w:rPr>
          <w:rFonts w:ascii="宋体" w:hAnsi="宋体" w:eastAsia="宋体" w:cs="宋体"/>
          <w:color w:val="000000"/>
          <w:sz w:val="21"/>
          <w:szCs w:val="21"/>
        </w:rPr>
      </w:pPr>
      <w:r>
        <w:rPr>
          <w:rFonts w:hint="eastAsia" w:ascii="宋体" w:eastAsia="宋体"/>
          <w:b w:val="0"/>
          <w:sz w:val="21"/>
        </w:rPr>
        <w:t>线上招标：</w:t>
      </w:r>
      <w:r>
        <w:rPr>
          <w:rFonts w:hint="eastAsia" w:ascii="宋体" w:hAnsi="宋体" w:eastAsia="宋体" w:cs="宋体"/>
          <w:b w:val="0"/>
          <w:bCs w:val="0"/>
          <w:sz w:val="21"/>
          <w:szCs w:val="21"/>
        </w:rPr>
        <w:t>因招标人原因，允许各投标方通过视频会议等形式线上招标，所需过程资料均通过e采通进行提报，由</w:t>
      </w:r>
      <w:r>
        <w:rPr>
          <w:rFonts w:hint="eastAsia" w:ascii="宋体" w:hAnsi="宋体" w:eastAsia="宋体" w:cs="宋体"/>
          <w:color w:val="000000"/>
          <w:sz w:val="21"/>
          <w:szCs w:val="21"/>
        </w:rPr>
        <w:t>招标人创建视频链接，并在报名结束后统一通知。</w:t>
      </w:r>
    </w:p>
    <w:p w14:paraId="6D30DA0C">
      <w:pPr>
        <w:pStyle w:val="73"/>
        <w:numPr>
          <w:ilvl w:val="0"/>
          <w:numId w:val="21"/>
        </w:numPr>
        <w:ind w:firstLine="0"/>
        <w:rPr>
          <w:rFonts w:ascii="宋体" w:hAnsi="宋体" w:eastAsia="宋体" w:cs="宋体"/>
          <w:b w:val="0"/>
          <w:bCs w:val="0"/>
          <w:sz w:val="21"/>
          <w:szCs w:val="21"/>
        </w:rPr>
      </w:pPr>
      <w:r>
        <w:rPr>
          <w:rFonts w:hint="eastAsia" w:ascii="宋体" w:hAnsi="宋体" w:eastAsia="宋体" w:cs="宋体"/>
          <w:b w:val="0"/>
          <w:bCs w:val="0"/>
          <w:sz w:val="21"/>
          <w:szCs w:val="21"/>
        </w:rPr>
        <w:t>评标</w:t>
      </w:r>
    </w:p>
    <w:p w14:paraId="3D1F639D">
      <w:pPr>
        <w:pStyle w:val="73"/>
        <w:numPr>
          <w:ilvl w:val="0"/>
          <w:numId w:val="23"/>
        </w:numPr>
        <w:ind w:left="0" w:firstLine="0"/>
        <w:rPr>
          <w:rFonts w:ascii="宋体" w:hAnsi="宋体" w:eastAsia="宋体" w:cs="宋体"/>
          <w:b w:val="0"/>
          <w:bCs w:val="0"/>
          <w:sz w:val="21"/>
          <w:szCs w:val="21"/>
          <w:highlight w:val="yellow"/>
        </w:rPr>
      </w:pPr>
      <w:r>
        <w:rPr>
          <w:rFonts w:hint="eastAsia" w:ascii="宋体" w:hAnsi="宋体" w:eastAsia="宋体" w:cs="宋体"/>
          <w:b w:val="0"/>
          <w:bCs w:val="0"/>
          <w:sz w:val="21"/>
          <w:szCs w:val="21"/>
          <w:highlight w:val="yellow"/>
        </w:rPr>
        <w:t>评标方法</w:t>
      </w:r>
    </w:p>
    <w:p w14:paraId="437BAC05">
      <w:pPr>
        <w:pStyle w:val="76"/>
        <w:numPr>
          <w:ilvl w:val="0"/>
          <w:numId w:val="16"/>
        </w:numPr>
        <w:ind w:left="10" w:firstLine="0"/>
        <w:rPr>
          <w:bCs/>
        </w:rPr>
      </w:pPr>
      <w:r>
        <w:rPr>
          <w:rFonts w:hint="eastAsia"/>
          <w:bCs/>
        </w:rPr>
        <w:t>综合评分法</w:t>
      </w:r>
    </w:p>
    <w:p w14:paraId="62CD9170">
      <w:pPr>
        <w:pStyle w:val="73"/>
        <w:numPr>
          <w:ilvl w:val="0"/>
          <w:numId w:val="0"/>
        </w:numPr>
        <w:rPr>
          <w:rFonts w:ascii="宋体" w:hAnsi="宋体" w:eastAsia="宋体" w:cs="宋体"/>
          <w:b w:val="0"/>
          <w:bCs w:val="0"/>
          <w:sz w:val="21"/>
          <w:szCs w:val="21"/>
        </w:rPr>
      </w:pPr>
      <w:r>
        <w:rPr>
          <w:rFonts w:hint="eastAsia" w:ascii="宋体" w:hAnsi="宋体" w:eastAsia="宋体" w:cs="宋体"/>
          <w:b w:val="0"/>
          <w:bCs w:val="0"/>
          <w:sz w:val="21"/>
          <w:szCs w:val="21"/>
        </w:rPr>
        <w:t>本次招标采用综合评分法评标，即在最大限度地满足招标文件实质性要求的前提下，按照评分标准中规定的评分因素和评分细则进行综合评价、评分。</w:t>
      </w:r>
    </w:p>
    <w:p w14:paraId="2A1AA526">
      <w:pPr>
        <w:pStyle w:val="73"/>
        <w:numPr>
          <w:ilvl w:val="0"/>
          <w:numId w:val="0"/>
        </w:numPr>
        <w:rPr>
          <w:rFonts w:ascii="宋体" w:hAnsi="宋体" w:eastAsia="宋体" w:cs="宋体"/>
          <w:b w:val="0"/>
          <w:bCs w:val="0"/>
          <w:sz w:val="21"/>
          <w:szCs w:val="21"/>
        </w:rPr>
      </w:pPr>
      <w:r>
        <w:rPr>
          <w:rFonts w:hint="eastAsia" w:ascii="宋体" w:hAnsi="宋体" w:eastAsia="宋体" w:cs="宋体"/>
          <w:b w:val="0"/>
          <w:bCs w:val="0"/>
          <w:sz w:val="21"/>
          <w:szCs w:val="21"/>
        </w:rPr>
        <w:t>评标委员会各成员独立对每一份有效投标文件进行评价并对除报价以外的评分项目进行评分，报价得分由工作人员通过计算得出。</w:t>
      </w:r>
    </w:p>
    <w:p w14:paraId="1CEBE091">
      <w:pPr>
        <w:pStyle w:val="73"/>
        <w:numPr>
          <w:ilvl w:val="0"/>
          <w:numId w:val="0"/>
        </w:numPr>
        <w:rPr>
          <w:rFonts w:hint="eastAsia" w:ascii="宋体" w:hAnsi="宋体" w:eastAsia="宋体" w:cs="宋体"/>
          <w:b w:val="0"/>
          <w:bCs w:val="0"/>
          <w:sz w:val="21"/>
          <w:szCs w:val="21"/>
        </w:rPr>
      </w:pPr>
      <w:r>
        <w:rPr>
          <w:rFonts w:ascii="宋体" w:hAnsi="宋体" w:eastAsia="宋体" w:cs="宋体"/>
          <w:b w:val="0"/>
          <w:bCs w:val="0"/>
          <w:sz w:val="21"/>
          <w:szCs w:val="21"/>
        </w:rPr>
        <w:t>本次招标采用综合评分法（技术标权重40%，商务标权重60%；技术标得分按百分制打分，技术标得分80分及以上入围商务标。商务标得分=（当前轮次最低价/供方投标价）×100；综合评分=技术标得分×40%+商务标得分×60%）。本着公平、公正、公开的原则，在通过技术标综合评审后入围的前提下，选择综合评分最高分确定中标人，对未中标方不做任何解释。</w:t>
      </w:r>
    </w:p>
    <w:p w14:paraId="6C3A393B">
      <w:pPr>
        <w:pStyle w:val="73"/>
        <w:numPr>
          <w:ilvl w:val="0"/>
          <w:numId w:val="23"/>
        </w:numPr>
        <w:ind w:left="0" w:firstLine="0"/>
        <w:rPr>
          <w:rFonts w:ascii="宋体" w:hAnsi="宋体" w:eastAsia="宋体" w:cs="宋体"/>
          <w:b w:val="0"/>
          <w:bCs w:val="0"/>
          <w:sz w:val="21"/>
          <w:szCs w:val="21"/>
        </w:rPr>
      </w:pPr>
      <w:r>
        <w:rPr>
          <w:rFonts w:hint="eastAsia" w:ascii="宋体" w:hAnsi="宋体" w:eastAsia="宋体" w:cs="宋体"/>
          <w:b w:val="0"/>
          <w:bCs w:val="0"/>
          <w:sz w:val="21"/>
          <w:szCs w:val="21"/>
        </w:rPr>
        <w:t>评标流程</w:t>
      </w:r>
    </w:p>
    <w:p w14:paraId="7B189C31">
      <w:pPr>
        <w:numPr>
          <w:ilvl w:val="0"/>
          <w:numId w:val="24"/>
        </w:numPr>
        <w:spacing w:line="360" w:lineRule="auto"/>
        <w:rPr>
          <w:rFonts w:ascii="宋体" w:hAnsi="宋体" w:cs="宋体"/>
          <w:b/>
          <w:color w:val="000000"/>
          <w:szCs w:val="21"/>
        </w:rPr>
      </w:pPr>
      <w:r>
        <w:rPr>
          <w:rFonts w:hint="eastAsia" w:ascii="宋体" w:hAnsi="宋体" w:cs="宋体"/>
          <w:b/>
          <w:color w:val="000000"/>
          <w:szCs w:val="21"/>
        </w:rPr>
        <w:t>应标资格审查：在“中国重汽e采通”应标报名时，</w:t>
      </w:r>
      <w:r>
        <w:rPr>
          <w:rFonts w:hint="eastAsia" w:ascii="宋体" w:hAnsi="宋体" w:cs="宋体"/>
          <w:b/>
          <w:bCs/>
          <w:color w:val="000000"/>
          <w:szCs w:val="21"/>
        </w:rPr>
        <w:t>按照第一部分第四条投标文件编制资格证明文件中的1.1-1.11准备资料，上传完毕后，等待审核</w:t>
      </w:r>
      <w:r>
        <w:rPr>
          <w:rFonts w:hint="eastAsia" w:ascii="宋体" w:hAnsi="宋体" w:cs="宋体"/>
          <w:b/>
          <w:color w:val="000000"/>
          <w:szCs w:val="21"/>
        </w:rPr>
        <w:t>；</w:t>
      </w:r>
    </w:p>
    <w:p w14:paraId="1EB09D01">
      <w:pPr>
        <w:numPr>
          <w:ilvl w:val="0"/>
          <w:numId w:val="24"/>
        </w:numPr>
        <w:spacing w:line="360" w:lineRule="auto"/>
        <w:rPr>
          <w:rFonts w:ascii="宋体" w:hAnsi="宋体" w:cs="宋体"/>
          <w:b/>
          <w:bCs/>
          <w:color w:val="000000"/>
          <w:szCs w:val="21"/>
        </w:rPr>
      </w:pPr>
      <w:r>
        <w:rPr>
          <w:rFonts w:hint="eastAsia" w:ascii="宋体" w:hAnsi="宋体" w:cs="宋体"/>
          <w:b/>
          <w:bCs/>
          <w:color w:val="000000"/>
          <w:szCs w:val="21"/>
        </w:rPr>
        <w:t>通过应标资格审查的单位进入投标环节，按照“SRM系统供应商用户手册”，在重汽e采通平台投递电子标书（包含资质标、技术标、商务标）；没有通过应标资质审查的单位不能进入投标环节；</w:t>
      </w:r>
    </w:p>
    <w:p w14:paraId="0B10A787">
      <w:pPr>
        <w:numPr>
          <w:ilvl w:val="0"/>
          <w:numId w:val="24"/>
        </w:numPr>
        <w:spacing w:line="360" w:lineRule="auto"/>
        <w:rPr>
          <w:rFonts w:hint="eastAsia" w:ascii="宋体" w:hAnsi="宋体" w:cs="宋体"/>
          <w:b/>
          <w:bCs/>
          <w:color w:val="000000"/>
          <w:szCs w:val="21"/>
        </w:rPr>
      </w:pPr>
      <w:r>
        <w:rPr>
          <w:rFonts w:hint="eastAsia" w:ascii="宋体" w:hAnsi="宋体" w:cs="宋体"/>
          <w:b/>
          <w:bCs/>
          <w:color w:val="000000"/>
          <w:szCs w:val="21"/>
        </w:rPr>
        <w:t>资质标评审：资质标审核通过的单位，可以进入公开唱标环节；</w:t>
      </w:r>
      <w:r>
        <w:rPr>
          <w:rFonts w:ascii="宋体" w:hAnsi="宋体" w:cs="宋体"/>
          <w:b/>
          <w:bCs/>
          <w:color w:val="000000"/>
          <w:szCs w:val="21"/>
        </w:rPr>
        <w:t>所有项目经资质审查通过后，宣布投标人名单，宣布评标纪律，合格投标人不足 3家的，不得评标（竞争性谈判、单一来源除外）。进行开唱标工作，并须统一报价要求：按照明细清单及技术配置要求细化总报价以及分解报价</w:t>
      </w:r>
      <w:r>
        <w:rPr>
          <w:rFonts w:hint="eastAsia" w:ascii="宋体" w:hAnsi="宋体" w:cs="宋体"/>
          <w:b/>
          <w:bCs/>
          <w:color w:val="000000"/>
          <w:szCs w:val="21"/>
        </w:rPr>
        <w:t>；</w:t>
      </w:r>
    </w:p>
    <w:p w14:paraId="0815D757">
      <w:pPr>
        <w:numPr>
          <w:ilvl w:val="0"/>
          <w:numId w:val="24"/>
        </w:numPr>
        <w:spacing w:line="360" w:lineRule="auto"/>
        <w:rPr>
          <w:rFonts w:ascii="宋体" w:hAnsi="宋体" w:cs="宋体"/>
          <w:b/>
          <w:bCs/>
          <w:color w:val="000000"/>
          <w:szCs w:val="21"/>
        </w:rPr>
      </w:pPr>
      <w:r>
        <w:rPr>
          <w:rFonts w:hint="eastAsia" w:ascii="宋体" w:hAnsi="宋体" w:cs="宋体"/>
          <w:b/>
          <w:bCs/>
          <w:color w:val="000000"/>
          <w:szCs w:val="21"/>
        </w:rPr>
        <w:t>公开唱标：公示资质标入围单位的开标价格及商务条款响应情况；</w:t>
      </w:r>
    </w:p>
    <w:p w14:paraId="4BE22AE1">
      <w:pPr>
        <w:numPr>
          <w:ilvl w:val="0"/>
          <w:numId w:val="24"/>
        </w:numPr>
        <w:spacing w:line="360" w:lineRule="auto"/>
        <w:rPr>
          <w:rFonts w:ascii="宋体" w:hAnsi="宋体" w:cs="宋体"/>
          <w:b/>
          <w:bCs/>
          <w:color w:val="000000"/>
          <w:szCs w:val="21"/>
        </w:rPr>
      </w:pPr>
      <w:r>
        <w:rPr>
          <w:rFonts w:hint="eastAsia" w:ascii="宋体" w:hAnsi="宋体" w:cs="宋体"/>
          <w:b/>
          <w:bCs/>
          <w:color w:val="000000"/>
          <w:szCs w:val="21"/>
        </w:rPr>
        <w:t>技术标评审：技术标评标专家组，通过重汽e采通，对各投标人的《投标文件（技术标）》进行综合评审；评审期间产生的技术澄清均由投标人在重汽e采通平台内完成提交；评审合格的单位进入商务标评审环节，评审不合格的单位被淘汰；具体评分详见评分标准；</w:t>
      </w:r>
    </w:p>
    <w:p w14:paraId="6C94F569">
      <w:pPr>
        <w:numPr>
          <w:ilvl w:val="0"/>
          <w:numId w:val="24"/>
        </w:numPr>
        <w:spacing w:line="360" w:lineRule="auto"/>
        <w:rPr>
          <w:rFonts w:ascii="宋体" w:hAnsi="宋体" w:cs="宋体"/>
          <w:b/>
          <w:bCs/>
          <w:color w:val="000000"/>
          <w:szCs w:val="21"/>
        </w:rPr>
      </w:pPr>
      <w:r>
        <w:rPr>
          <w:rFonts w:hint="eastAsia" w:ascii="宋体" w:hAnsi="宋体" w:cs="宋体"/>
          <w:b/>
          <w:bCs/>
          <w:color w:val="000000"/>
          <w:szCs w:val="21"/>
        </w:rPr>
        <w:t>商务标评审：</w:t>
      </w:r>
      <w:r>
        <w:rPr>
          <w:rFonts w:ascii="宋体" w:hAnsi="宋体" w:cs="宋体"/>
          <w:b/>
          <w:bCs/>
          <w:color w:val="000000"/>
          <w:szCs w:val="21"/>
        </w:rPr>
        <w:t>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注意：每一轮在重汽e采通提供澄清报价均有时间限制，未能在规定时间内提交澄清函及报价的视为放弃本次投标</w:t>
      </w:r>
      <w:r>
        <w:rPr>
          <w:rFonts w:hint="eastAsia" w:ascii="宋体" w:hAnsi="宋体" w:cs="宋体"/>
          <w:b/>
          <w:bCs/>
          <w:color w:val="000000"/>
          <w:szCs w:val="21"/>
        </w:rPr>
        <w:t>；</w:t>
      </w:r>
    </w:p>
    <w:p w14:paraId="65749BBD">
      <w:pPr>
        <w:pStyle w:val="76"/>
        <w:numPr>
          <w:ilvl w:val="0"/>
          <w:numId w:val="16"/>
        </w:numPr>
        <w:ind w:left="10" w:firstLine="0"/>
        <w:rPr>
          <w:b/>
        </w:rPr>
      </w:pPr>
      <w:r>
        <w:rPr>
          <w:rFonts w:hint="eastAsia"/>
          <w:b/>
        </w:rPr>
        <w:t>注意：投标人均需要自带笔记本电脑在重汽e采通进行自主投标和提交澄清函；投标和提交澄清函均有时间限制，超时未提交的按无效处理。</w:t>
      </w:r>
    </w:p>
    <w:p w14:paraId="001BD67F">
      <w:pPr>
        <w:pStyle w:val="73"/>
        <w:numPr>
          <w:ilvl w:val="0"/>
          <w:numId w:val="23"/>
        </w:numPr>
        <w:ind w:left="0" w:firstLine="0"/>
        <w:rPr>
          <w:rFonts w:ascii="宋体" w:hAnsi="宋体" w:eastAsia="宋体" w:cs="宋体"/>
          <w:b w:val="0"/>
          <w:bCs w:val="0"/>
          <w:sz w:val="21"/>
          <w:szCs w:val="21"/>
          <w:highlight w:val="yellow"/>
        </w:rPr>
      </w:pPr>
      <w:r>
        <w:rPr>
          <w:rFonts w:hint="eastAsia" w:ascii="宋体" w:hAnsi="宋体" w:eastAsia="宋体" w:cs="宋体"/>
          <w:b w:val="0"/>
          <w:bCs w:val="0"/>
          <w:sz w:val="21"/>
          <w:szCs w:val="21"/>
          <w:highlight w:val="yellow"/>
        </w:rPr>
        <w:t>评分标准</w:t>
      </w:r>
    </w:p>
    <w:tbl>
      <w:tblPr>
        <w:tblStyle w:val="31"/>
        <w:tblW w:w="913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845"/>
        <w:gridCol w:w="520"/>
        <w:gridCol w:w="970"/>
        <w:gridCol w:w="650"/>
        <w:gridCol w:w="6153"/>
      </w:tblGrid>
      <w:tr w14:paraId="606745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43" w:hRule="atLeast"/>
          <w:jc w:val="center"/>
        </w:trPr>
        <w:tc>
          <w:tcPr>
            <w:tcW w:w="845" w:type="dxa"/>
            <w:tcBorders>
              <w:top w:val="single" w:color="auto" w:sz="4" w:space="0"/>
              <w:left w:val="single" w:color="auto" w:sz="4" w:space="0"/>
              <w:bottom w:val="single" w:color="auto" w:sz="4" w:space="0"/>
              <w:right w:val="single" w:color="auto" w:sz="4" w:space="0"/>
            </w:tcBorders>
            <w:vAlign w:val="center"/>
          </w:tcPr>
          <w:p w14:paraId="11CB7A29">
            <w:pPr>
              <w:spacing w:line="320" w:lineRule="exact"/>
              <w:ind w:right="34" w:rightChars="16"/>
              <w:jc w:val="center"/>
              <w:rPr>
                <w:b/>
                <w:szCs w:val="21"/>
              </w:rPr>
            </w:pPr>
            <w:r>
              <w:rPr>
                <w:rFonts w:hint="eastAsia"/>
                <w:b/>
              </w:rPr>
              <w:t>评标因素</w:t>
            </w:r>
          </w:p>
        </w:tc>
        <w:tc>
          <w:tcPr>
            <w:tcW w:w="520" w:type="dxa"/>
            <w:tcBorders>
              <w:top w:val="single" w:color="auto" w:sz="4" w:space="0"/>
              <w:left w:val="single" w:color="auto" w:sz="4" w:space="0"/>
              <w:bottom w:val="single" w:color="auto" w:sz="4" w:space="0"/>
              <w:right w:val="single" w:color="auto" w:sz="4" w:space="0"/>
            </w:tcBorders>
            <w:vAlign w:val="center"/>
          </w:tcPr>
          <w:p w14:paraId="2BC30749">
            <w:pPr>
              <w:spacing w:line="320" w:lineRule="exact"/>
              <w:ind w:right="34" w:rightChars="16"/>
              <w:jc w:val="center"/>
              <w:rPr>
                <w:b/>
                <w:szCs w:val="21"/>
              </w:rPr>
            </w:pPr>
            <w:r>
              <w:rPr>
                <w:rFonts w:hint="eastAsia"/>
                <w:b/>
              </w:rPr>
              <w:t>总分</w:t>
            </w:r>
          </w:p>
        </w:tc>
        <w:tc>
          <w:tcPr>
            <w:tcW w:w="970" w:type="dxa"/>
            <w:tcBorders>
              <w:top w:val="single" w:color="auto" w:sz="4" w:space="0"/>
              <w:left w:val="single" w:color="auto" w:sz="4" w:space="0"/>
              <w:bottom w:val="single" w:color="auto" w:sz="4" w:space="0"/>
              <w:right w:val="single" w:color="auto" w:sz="4" w:space="0"/>
            </w:tcBorders>
            <w:vAlign w:val="center"/>
          </w:tcPr>
          <w:p w14:paraId="7CC5DE9A">
            <w:pPr>
              <w:spacing w:line="320" w:lineRule="exact"/>
              <w:ind w:right="34" w:rightChars="16"/>
              <w:jc w:val="center"/>
              <w:rPr>
                <w:b/>
                <w:szCs w:val="21"/>
              </w:rPr>
            </w:pPr>
            <w:r>
              <w:rPr>
                <w:rFonts w:hint="eastAsia"/>
                <w:b/>
              </w:rPr>
              <w:t>评审内容</w:t>
            </w:r>
          </w:p>
        </w:tc>
        <w:tc>
          <w:tcPr>
            <w:tcW w:w="650" w:type="dxa"/>
            <w:tcBorders>
              <w:top w:val="single" w:color="auto" w:sz="4" w:space="0"/>
              <w:left w:val="single" w:color="auto" w:sz="4" w:space="0"/>
              <w:bottom w:val="single" w:color="auto" w:sz="4" w:space="0"/>
              <w:right w:val="single" w:color="auto" w:sz="4" w:space="0"/>
            </w:tcBorders>
            <w:vAlign w:val="center"/>
          </w:tcPr>
          <w:p w14:paraId="3CA3790F">
            <w:pPr>
              <w:spacing w:line="320" w:lineRule="exact"/>
              <w:ind w:right="34" w:rightChars="16"/>
              <w:jc w:val="center"/>
              <w:rPr>
                <w:b/>
                <w:szCs w:val="21"/>
              </w:rPr>
            </w:pPr>
            <w:r>
              <w:rPr>
                <w:rFonts w:hint="eastAsia"/>
                <w:b/>
              </w:rPr>
              <w:t>最高</w:t>
            </w:r>
          </w:p>
          <w:p w14:paraId="733F1D25">
            <w:pPr>
              <w:spacing w:line="320" w:lineRule="exact"/>
              <w:ind w:right="34" w:rightChars="16"/>
              <w:jc w:val="center"/>
              <w:rPr>
                <w:b/>
                <w:szCs w:val="21"/>
              </w:rPr>
            </w:pPr>
            <w:r>
              <w:rPr>
                <w:rFonts w:hint="eastAsia"/>
                <w:b/>
              </w:rPr>
              <w:t>得分</w:t>
            </w:r>
          </w:p>
        </w:tc>
        <w:tc>
          <w:tcPr>
            <w:tcW w:w="6153" w:type="dxa"/>
            <w:tcBorders>
              <w:top w:val="single" w:color="auto" w:sz="4" w:space="0"/>
              <w:left w:val="single" w:color="auto" w:sz="4" w:space="0"/>
              <w:bottom w:val="single" w:color="auto" w:sz="4" w:space="0"/>
              <w:right w:val="single" w:color="auto" w:sz="4" w:space="0"/>
            </w:tcBorders>
            <w:vAlign w:val="center"/>
          </w:tcPr>
          <w:p w14:paraId="3A7E564F">
            <w:pPr>
              <w:spacing w:line="320" w:lineRule="exact"/>
              <w:ind w:right="34" w:rightChars="16"/>
              <w:jc w:val="center"/>
              <w:rPr>
                <w:b/>
                <w:szCs w:val="21"/>
              </w:rPr>
            </w:pPr>
            <w:r>
              <w:rPr>
                <w:rFonts w:hint="eastAsia"/>
                <w:b/>
              </w:rPr>
              <w:t>评分标准</w:t>
            </w:r>
          </w:p>
        </w:tc>
      </w:tr>
      <w:tr w14:paraId="770BFC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178" w:hRule="atLeast"/>
          <w:jc w:val="center"/>
        </w:trPr>
        <w:tc>
          <w:tcPr>
            <w:tcW w:w="845" w:type="dxa"/>
            <w:vMerge w:val="restart"/>
            <w:tcBorders>
              <w:top w:val="single" w:color="auto" w:sz="4" w:space="0"/>
              <w:left w:val="single" w:color="auto" w:sz="4" w:space="0"/>
              <w:right w:val="single" w:color="auto" w:sz="4" w:space="0"/>
            </w:tcBorders>
            <w:vAlign w:val="center"/>
          </w:tcPr>
          <w:p w14:paraId="18E1B953">
            <w:pPr>
              <w:jc w:val="center"/>
              <w:rPr>
                <w:rFonts w:ascii="宋体"/>
              </w:rPr>
            </w:pPr>
            <w:r>
              <w:rPr>
                <w:rFonts w:hint="eastAsia" w:ascii="宋体"/>
              </w:rPr>
              <w:t>技术标</w:t>
            </w:r>
          </w:p>
          <w:p w14:paraId="7FA06539">
            <w:pPr>
              <w:spacing w:line="200" w:lineRule="exact"/>
              <w:jc w:val="center"/>
              <w:rPr>
                <w:rFonts w:ascii="宋体"/>
              </w:rPr>
            </w:pPr>
          </w:p>
        </w:tc>
        <w:tc>
          <w:tcPr>
            <w:tcW w:w="520" w:type="dxa"/>
            <w:vMerge w:val="restart"/>
            <w:tcBorders>
              <w:top w:val="single" w:color="auto" w:sz="4" w:space="0"/>
              <w:left w:val="single" w:color="auto" w:sz="4" w:space="0"/>
              <w:right w:val="single" w:color="auto" w:sz="4" w:space="0"/>
            </w:tcBorders>
            <w:vAlign w:val="center"/>
          </w:tcPr>
          <w:p w14:paraId="093ED7F5">
            <w:pPr>
              <w:spacing w:line="440" w:lineRule="exact"/>
              <w:jc w:val="center"/>
              <w:rPr>
                <w:rFonts w:ascii="宋体"/>
              </w:rPr>
            </w:pPr>
            <w:r>
              <w:rPr>
                <w:rFonts w:ascii="宋体"/>
              </w:rPr>
              <w:t>10</w:t>
            </w:r>
            <w:r>
              <w:rPr>
                <w:rFonts w:hint="eastAsia" w:ascii="宋体"/>
              </w:rPr>
              <w:t>0</w:t>
            </w:r>
          </w:p>
        </w:tc>
        <w:tc>
          <w:tcPr>
            <w:tcW w:w="970" w:type="dxa"/>
            <w:tcBorders>
              <w:top w:val="single" w:color="auto" w:sz="4" w:space="0"/>
              <w:left w:val="single" w:color="auto" w:sz="4" w:space="0"/>
              <w:right w:val="single" w:color="auto" w:sz="4" w:space="0"/>
            </w:tcBorders>
            <w:vAlign w:val="center"/>
          </w:tcPr>
          <w:p w14:paraId="431B32CD">
            <w:pPr>
              <w:jc w:val="center"/>
              <w:rPr>
                <w:rFonts w:ascii="宋体"/>
              </w:rPr>
            </w:pPr>
            <w:r>
              <w:rPr>
                <w:rFonts w:hint="eastAsia" w:ascii="宋体" w:hAnsi="宋体" w:cs="宋体"/>
                <w:color w:val="000000"/>
                <w:kern w:val="0"/>
                <w:szCs w:val="21"/>
                <w:lang w:bidi="ar"/>
              </w:rPr>
              <w:t>技术方案</w:t>
            </w:r>
          </w:p>
        </w:tc>
        <w:tc>
          <w:tcPr>
            <w:tcW w:w="650" w:type="dxa"/>
            <w:tcBorders>
              <w:top w:val="single" w:color="auto" w:sz="4" w:space="0"/>
              <w:left w:val="single" w:color="auto" w:sz="4" w:space="0"/>
              <w:bottom w:val="single" w:color="auto" w:sz="4" w:space="0"/>
              <w:right w:val="single" w:color="auto" w:sz="4" w:space="0"/>
            </w:tcBorders>
            <w:vAlign w:val="center"/>
          </w:tcPr>
          <w:p w14:paraId="252E9531">
            <w:pPr>
              <w:jc w:val="center"/>
              <w:rPr>
                <w:rFonts w:ascii="宋体"/>
                <w:szCs w:val="21"/>
              </w:rPr>
            </w:pPr>
            <w:r>
              <w:rPr>
                <w:rFonts w:ascii="宋体"/>
              </w:rPr>
              <w:t>4</w:t>
            </w:r>
            <w:r>
              <w:rPr>
                <w:rFonts w:hint="eastAsia" w:ascii="宋体"/>
              </w:rPr>
              <w:t>0</w:t>
            </w:r>
          </w:p>
        </w:tc>
        <w:tc>
          <w:tcPr>
            <w:tcW w:w="6153" w:type="dxa"/>
            <w:tcBorders>
              <w:top w:val="single" w:color="auto" w:sz="4" w:space="0"/>
              <w:left w:val="single" w:color="auto" w:sz="4" w:space="0"/>
              <w:bottom w:val="single" w:color="auto" w:sz="4" w:space="0"/>
              <w:right w:val="single" w:color="auto" w:sz="4" w:space="0"/>
            </w:tcBorders>
            <w:vAlign w:val="center"/>
          </w:tcPr>
          <w:p w14:paraId="7D27EB3A">
            <w:pPr>
              <w:tabs>
                <w:tab w:val="left" w:pos="7854"/>
              </w:tabs>
              <w:spacing w:line="280" w:lineRule="exact"/>
            </w:pPr>
            <w:r>
              <w:t>根据投标人对E3.Series软件功能响应程度、PDM集成方案合理性、技术架构完整性进行评分。完全满足招标文件技术要求且方案优秀</w:t>
            </w:r>
            <w:r>
              <w:rPr>
                <w:rFonts w:hint="eastAsia"/>
              </w:rPr>
              <w:t>得30-40分；基本满足得20-30分；存在负偏离得0-10分</w:t>
            </w:r>
            <w:r>
              <w:t>。</w:t>
            </w:r>
          </w:p>
        </w:tc>
      </w:tr>
      <w:tr w14:paraId="53134D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45" w:hRule="atLeast"/>
          <w:jc w:val="center"/>
        </w:trPr>
        <w:tc>
          <w:tcPr>
            <w:tcW w:w="845" w:type="dxa"/>
            <w:vMerge w:val="continue"/>
            <w:tcBorders>
              <w:left w:val="single" w:color="auto" w:sz="4" w:space="0"/>
              <w:right w:val="single" w:color="auto" w:sz="4" w:space="0"/>
            </w:tcBorders>
            <w:vAlign w:val="center"/>
          </w:tcPr>
          <w:p w14:paraId="51FB4E36">
            <w:pPr>
              <w:widowControl/>
              <w:jc w:val="center"/>
              <w:rPr>
                <w:rFonts w:ascii="宋体"/>
              </w:rPr>
            </w:pPr>
          </w:p>
        </w:tc>
        <w:tc>
          <w:tcPr>
            <w:tcW w:w="520" w:type="dxa"/>
            <w:vMerge w:val="continue"/>
            <w:tcBorders>
              <w:left w:val="single" w:color="auto" w:sz="4" w:space="0"/>
              <w:right w:val="single" w:color="auto" w:sz="4" w:space="0"/>
            </w:tcBorders>
            <w:vAlign w:val="center"/>
          </w:tcPr>
          <w:p w14:paraId="03F59266">
            <w:pPr>
              <w:widowControl/>
              <w:jc w:val="center"/>
              <w:rPr>
                <w:rFonts w:ascii="宋体"/>
              </w:rPr>
            </w:pPr>
          </w:p>
        </w:tc>
        <w:tc>
          <w:tcPr>
            <w:tcW w:w="970" w:type="dxa"/>
            <w:tcBorders>
              <w:top w:val="single" w:color="auto" w:sz="4" w:space="0"/>
              <w:left w:val="single" w:color="auto" w:sz="4" w:space="0"/>
              <w:bottom w:val="single" w:color="auto" w:sz="4" w:space="0"/>
              <w:right w:val="single" w:color="auto" w:sz="4" w:space="0"/>
            </w:tcBorders>
            <w:vAlign w:val="center"/>
          </w:tcPr>
          <w:p w14:paraId="5F2EC0CE">
            <w:pPr>
              <w:jc w:val="center"/>
              <w:rPr>
                <w:rFonts w:ascii="宋体"/>
                <w:szCs w:val="21"/>
              </w:rPr>
            </w:pPr>
            <w:r>
              <w:rPr>
                <w:rFonts w:hint="eastAsia" w:ascii="宋体" w:hAnsi="宋体"/>
              </w:rPr>
              <w:t>质量保障</w:t>
            </w:r>
          </w:p>
        </w:tc>
        <w:tc>
          <w:tcPr>
            <w:tcW w:w="650" w:type="dxa"/>
            <w:tcBorders>
              <w:top w:val="single" w:color="auto" w:sz="4" w:space="0"/>
              <w:left w:val="single" w:color="auto" w:sz="4" w:space="0"/>
              <w:bottom w:val="nil"/>
              <w:right w:val="single" w:color="auto" w:sz="4" w:space="0"/>
            </w:tcBorders>
            <w:vAlign w:val="center"/>
          </w:tcPr>
          <w:p w14:paraId="7A5A0C8C">
            <w:pPr>
              <w:spacing w:line="440" w:lineRule="exact"/>
              <w:jc w:val="center"/>
              <w:rPr>
                <w:rFonts w:ascii="宋体"/>
                <w:szCs w:val="21"/>
              </w:rPr>
            </w:pPr>
            <w:r>
              <w:rPr>
                <w:rFonts w:ascii="宋体"/>
              </w:rPr>
              <w:t>2</w:t>
            </w:r>
            <w:r>
              <w:rPr>
                <w:rFonts w:hint="eastAsia" w:ascii="宋体"/>
              </w:rPr>
              <w:t>0</w:t>
            </w:r>
          </w:p>
        </w:tc>
        <w:tc>
          <w:tcPr>
            <w:tcW w:w="6153" w:type="dxa"/>
            <w:tcBorders>
              <w:top w:val="single" w:color="auto" w:sz="4" w:space="0"/>
              <w:left w:val="single" w:color="auto" w:sz="4" w:space="0"/>
              <w:bottom w:val="nil"/>
              <w:right w:val="single" w:color="auto" w:sz="4" w:space="0"/>
            </w:tcBorders>
            <w:vAlign w:val="center"/>
          </w:tcPr>
          <w:p w14:paraId="43AADB7D">
            <w:pPr>
              <w:tabs>
                <w:tab w:val="left" w:pos="7854"/>
              </w:tabs>
              <w:spacing w:line="280" w:lineRule="exact"/>
            </w:pPr>
            <w:r>
              <w:t>根据软件正版性保障、授权证书完整性、质量保证体系、售后服务承诺进行评分。</w:t>
            </w:r>
          </w:p>
        </w:tc>
      </w:tr>
      <w:tr w14:paraId="37799E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28" w:hRule="atLeast"/>
          <w:jc w:val="center"/>
        </w:trPr>
        <w:tc>
          <w:tcPr>
            <w:tcW w:w="845" w:type="dxa"/>
            <w:vMerge w:val="continue"/>
            <w:tcBorders>
              <w:left w:val="single" w:color="auto" w:sz="4" w:space="0"/>
              <w:right w:val="single" w:color="auto" w:sz="4" w:space="0"/>
            </w:tcBorders>
            <w:vAlign w:val="center"/>
          </w:tcPr>
          <w:p w14:paraId="2A0A3715">
            <w:pPr>
              <w:widowControl/>
              <w:jc w:val="center"/>
              <w:rPr>
                <w:rFonts w:ascii="宋体"/>
              </w:rPr>
            </w:pPr>
          </w:p>
        </w:tc>
        <w:tc>
          <w:tcPr>
            <w:tcW w:w="520" w:type="dxa"/>
            <w:vMerge w:val="continue"/>
            <w:tcBorders>
              <w:left w:val="single" w:color="auto" w:sz="4" w:space="0"/>
              <w:right w:val="single" w:color="auto" w:sz="4" w:space="0"/>
            </w:tcBorders>
            <w:vAlign w:val="center"/>
          </w:tcPr>
          <w:p w14:paraId="39B8D84C">
            <w:pPr>
              <w:widowControl/>
              <w:jc w:val="center"/>
              <w:rPr>
                <w:rFonts w:ascii="宋体"/>
              </w:rPr>
            </w:pPr>
          </w:p>
        </w:tc>
        <w:tc>
          <w:tcPr>
            <w:tcW w:w="970" w:type="dxa"/>
            <w:tcBorders>
              <w:top w:val="single" w:color="auto" w:sz="4" w:space="0"/>
              <w:left w:val="single" w:color="auto" w:sz="4" w:space="0"/>
              <w:bottom w:val="single" w:color="auto" w:sz="4" w:space="0"/>
              <w:right w:val="single" w:color="auto" w:sz="4" w:space="0"/>
            </w:tcBorders>
            <w:vAlign w:val="center"/>
          </w:tcPr>
          <w:p w14:paraId="2FD55FD4">
            <w:pPr>
              <w:jc w:val="center"/>
              <w:rPr>
                <w:rFonts w:ascii="宋体"/>
                <w:szCs w:val="21"/>
              </w:rPr>
            </w:pPr>
            <w:r>
              <w:rPr>
                <w:rFonts w:hint="eastAsia" w:ascii="宋体" w:hAnsi="宋体"/>
              </w:rPr>
              <w:t>业绩</w:t>
            </w:r>
          </w:p>
        </w:tc>
        <w:tc>
          <w:tcPr>
            <w:tcW w:w="650" w:type="dxa"/>
            <w:tcBorders>
              <w:top w:val="single" w:color="auto" w:sz="4" w:space="0"/>
              <w:left w:val="single" w:color="auto" w:sz="4" w:space="0"/>
              <w:bottom w:val="nil"/>
              <w:right w:val="single" w:color="auto" w:sz="4" w:space="0"/>
            </w:tcBorders>
            <w:vAlign w:val="center"/>
          </w:tcPr>
          <w:p w14:paraId="30C49821">
            <w:pPr>
              <w:jc w:val="center"/>
              <w:rPr>
                <w:rFonts w:ascii="宋体"/>
                <w:szCs w:val="21"/>
              </w:rPr>
            </w:pPr>
            <w:r>
              <w:rPr>
                <w:rFonts w:hint="eastAsia" w:ascii="宋体"/>
              </w:rPr>
              <w:t>15</w:t>
            </w:r>
          </w:p>
        </w:tc>
        <w:tc>
          <w:tcPr>
            <w:tcW w:w="6153" w:type="dxa"/>
            <w:tcBorders>
              <w:top w:val="single" w:color="auto" w:sz="4" w:space="0"/>
              <w:left w:val="single" w:color="auto" w:sz="4" w:space="0"/>
              <w:bottom w:val="nil"/>
              <w:right w:val="single" w:color="auto" w:sz="4" w:space="0"/>
            </w:tcBorders>
            <w:vAlign w:val="center"/>
          </w:tcPr>
          <w:p w14:paraId="095295E7">
            <w:pPr>
              <w:tabs>
                <w:tab w:val="left" w:pos="7854"/>
              </w:tabs>
              <w:spacing w:line="280" w:lineRule="exact"/>
            </w:pPr>
            <w:r>
              <w:t>近三年同类E3.Series或同等级电气CAD软件销售及实施案例。</w:t>
            </w:r>
          </w:p>
        </w:tc>
      </w:tr>
      <w:tr w14:paraId="35A2DB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19" w:hRule="atLeast"/>
          <w:jc w:val="center"/>
        </w:trPr>
        <w:tc>
          <w:tcPr>
            <w:tcW w:w="845" w:type="dxa"/>
            <w:vMerge w:val="continue"/>
            <w:tcBorders>
              <w:left w:val="single" w:color="auto" w:sz="4" w:space="0"/>
              <w:right w:val="single" w:color="auto" w:sz="4" w:space="0"/>
            </w:tcBorders>
            <w:vAlign w:val="center"/>
          </w:tcPr>
          <w:p w14:paraId="334A489E">
            <w:pPr>
              <w:widowControl/>
              <w:jc w:val="center"/>
              <w:rPr>
                <w:rFonts w:ascii="宋体"/>
              </w:rPr>
            </w:pPr>
          </w:p>
        </w:tc>
        <w:tc>
          <w:tcPr>
            <w:tcW w:w="520" w:type="dxa"/>
            <w:vMerge w:val="continue"/>
            <w:tcBorders>
              <w:left w:val="single" w:color="auto" w:sz="4" w:space="0"/>
              <w:right w:val="single" w:color="auto" w:sz="4" w:space="0"/>
            </w:tcBorders>
            <w:vAlign w:val="center"/>
          </w:tcPr>
          <w:p w14:paraId="531D651E">
            <w:pPr>
              <w:widowControl/>
              <w:jc w:val="center"/>
              <w:rPr>
                <w:rFonts w:ascii="宋体"/>
              </w:rPr>
            </w:pPr>
          </w:p>
        </w:tc>
        <w:tc>
          <w:tcPr>
            <w:tcW w:w="970" w:type="dxa"/>
            <w:tcBorders>
              <w:top w:val="single" w:color="auto" w:sz="4" w:space="0"/>
              <w:left w:val="single" w:color="auto" w:sz="4" w:space="0"/>
              <w:bottom w:val="single" w:color="auto" w:sz="4" w:space="0"/>
              <w:right w:val="single" w:color="auto" w:sz="4" w:space="0"/>
            </w:tcBorders>
            <w:vAlign w:val="center"/>
          </w:tcPr>
          <w:p w14:paraId="2781B6CD">
            <w:pPr>
              <w:jc w:val="center"/>
            </w:pPr>
            <w:r>
              <w:rPr>
                <w:rFonts w:hint="eastAsia"/>
              </w:rPr>
              <w:t>交货期</w:t>
            </w:r>
          </w:p>
        </w:tc>
        <w:tc>
          <w:tcPr>
            <w:tcW w:w="650" w:type="dxa"/>
            <w:tcBorders>
              <w:top w:val="single" w:color="auto" w:sz="4" w:space="0"/>
              <w:left w:val="single" w:color="auto" w:sz="4" w:space="0"/>
              <w:bottom w:val="nil"/>
              <w:right w:val="single" w:color="auto" w:sz="4" w:space="0"/>
            </w:tcBorders>
            <w:vAlign w:val="center"/>
          </w:tcPr>
          <w:p w14:paraId="082F1516">
            <w:pPr>
              <w:jc w:val="center"/>
            </w:pPr>
            <w:r>
              <w:rPr>
                <w:rFonts w:hint="eastAsia" w:ascii="宋体"/>
              </w:rPr>
              <w:t>1</w:t>
            </w:r>
            <w:r>
              <w:rPr>
                <w:rFonts w:ascii="宋体"/>
              </w:rPr>
              <w:t>5</w:t>
            </w:r>
          </w:p>
        </w:tc>
        <w:tc>
          <w:tcPr>
            <w:tcW w:w="6153" w:type="dxa"/>
            <w:tcBorders>
              <w:top w:val="single" w:color="auto" w:sz="4" w:space="0"/>
              <w:left w:val="single" w:color="auto" w:sz="4" w:space="0"/>
              <w:bottom w:val="nil"/>
              <w:right w:val="single" w:color="auto" w:sz="4" w:space="0"/>
            </w:tcBorders>
            <w:vAlign w:val="center"/>
          </w:tcPr>
          <w:p w14:paraId="2C8A92A7">
            <w:pPr>
              <w:pStyle w:val="95"/>
            </w:pPr>
            <w:r>
              <w:t>根据项目实施计划合理性、里程碑安排、人员配置、按期交货保障措施进行评分。</w:t>
            </w:r>
          </w:p>
        </w:tc>
      </w:tr>
      <w:tr w14:paraId="25974E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19" w:hRule="atLeast"/>
          <w:jc w:val="center"/>
        </w:trPr>
        <w:tc>
          <w:tcPr>
            <w:tcW w:w="845" w:type="dxa"/>
            <w:vMerge w:val="continue"/>
            <w:tcBorders>
              <w:left w:val="single" w:color="auto" w:sz="4" w:space="0"/>
              <w:bottom w:val="single" w:color="auto" w:sz="4" w:space="0"/>
              <w:right w:val="single" w:color="auto" w:sz="4" w:space="0"/>
            </w:tcBorders>
            <w:vAlign w:val="center"/>
          </w:tcPr>
          <w:p w14:paraId="618EE7E6">
            <w:pPr>
              <w:widowControl/>
              <w:jc w:val="center"/>
              <w:rPr>
                <w:rFonts w:ascii="宋体"/>
              </w:rPr>
            </w:pPr>
          </w:p>
        </w:tc>
        <w:tc>
          <w:tcPr>
            <w:tcW w:w="520" w:type="dxa"/>
            <w:vMerge w:val="continue"/>
            <w:tcBorders>
              <w:left w:val="single" w:color="auto" w:sz="4" w:space="0"/>
              <w:bottom w:val="single" w:color="auto" w:sz="4" w:space="0"/>
              <w:right w:val="single" w:color="auto" w:sz="4" w:space="0"/>
            </w:tcBorders>
            <w:vAlign w:val="center"/>
          </w:tcPr>
          <w:p w14:paraId="7A85B5D5">
            <w:pPr>
              <w:widowControl/>
              <w:jc w:val="center"/>
              <w:rPr>
                <w:rFonts w:ascii="宋体"/>
              </w:rPr>
            </w:pPr>
          </w:p>
        </w:tc>
        <w:tc>
          <w:tcPr>
            <w:tcW w:w="970" w:type="dxa"/>
            <w:tcBorders>
              <w:top w:val="single" w:color="auto" w:sz="4" w:space="0"/>
              <w:left w:val="single" w:color="auto" w:sz="4" w:space="0"/>
              <w:bottom w:val="single" w:color="auto" w:sz="4" w:space="0"/>
              <w:right w:val="single" w:color="auto" w:sz="4" w:space="0"/>
            </w:tcBorders>
            <w:vAlign w:val="center"/>
          </w:tcPr>
          <w:p w14:paraId="4B7C6931">
            <w:pPr>
              <w:jc w:val="center"/>
            </w:pPr>
            <w:r>
              <w:rPr>
                <w:rFonts w:hint="eastAsia"/>
              </w:rPr>
              <w:t>培训与售后服务</w:t>
            </w:r>
          </w:p>
        </w:tc>
        <w:tc>
          <w:tcPr>
            <w:tcW w:w="650" w:type="dxa"/>
            <w:tcBorders>
              <w:top w:val="single" w:color="auto" w:sz="4" w:space="0"/>
              <w:left w:val="single" w:color="auto" w:sz="4" w:space="0"/>
              <w:bottom w:val="nil"/>
              <w:right w:val="single" w:color="auto" w:sz="4" w:space="0"/>
            </w:tcBorders>
            <w:vAlign w:val="center"/>
          </w:tcPr>
          <w:p w14:paraId="0BCD55A1">
            <w:pPr>
              <w:jc w:val="center"/>
              <w:rPr>
                <w:rFonts w:ascii="宋体"/>
              </w:rPr>
            </w:pPr>
            <w:r>
              <w:rPr>
                <w:rFonts w:ascii="宋体"/>
              </w:rPr>
              <w:t>10</w:t>
            </w:r>
          </w:p>
        </w:tc>
        <w:tc>
          <w:tcPr>
            <w:tcW w:w="6153" w:type="dxa"/>
            <w:tcBorders>
              <w:top w:val="single" w:color="auto" w:sz="4" w:space="0"/>
              <w:left w:val="single" w:color="auto" w:sz="4" w:space="0"/>
              <w:bottom w:val="nil"/>
              <w:right w:val="single" w:color="auto" w:sz="4" w:space="0"/>
            </w:tcBorders>
            <w:vAlign w:val="center"/>
          </w:tcPr>
          <w:p w14:paraId="2C3D72A3">
            <w:pPr>
              <w:pStyle w:val="95"/>
            </w:pPr>
            <w:r>
              <w:t>根据培训方案（现场培训天数、覆盖率）、技术支持响应时间、本地化服务能力进行评分。</w:t>
            </w:r>
          </w:p>
        </w:tc>
      </w:tr>
      <w:tr w14:paraId="0EDE39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110" w:hRule="atLeast"/>
          <w:jc w:val="center"/>
        </w:trPr>
        <w:tc>
          <w:tcPr>
            <w:tcW w:w="845" w:type="dxa"/>
            <w:tcBorders>
              <w:top w:val="single" w:color="auto" w:sz="4" w:space="0"/>
              <w:left w:val="single" w:color="auto" w:sz="4" w:space="0"/>
              <w:bottom w:val="single" w:color="auto" w:sz="4" w:space="0"/>
              <w:right w:val="single" w:color="auto" w:sz="4" w:space="0"/>
            </w:tcBorders>
            <w:vAlign w:val="center"/>
          </w:tcPr>
          <w:p w14:paraId="74EA9548">
            <w:pPr>
              <w:jc w:val="center"/>
              <w:rPr>
                <w:rFonts w:ascii="宋体"/>
                <w:szCs w:val="21"/>
              </w:rPr>
            </w:pPr>
            <w:r>
              <w:rPr>
                <w:rFonts w:hint="eastAsia" w:ascii="宋体"/>
                <w:szCs w:val="21"/>
              </w:rPr>
              <w:t>商务标</w:t>
            </w:r>
          </w:p>
          <w:p w14:paraId="489270C8">
            <w:pPr>
              <w:spacing w:line="200" w:lineRule="exact"/>
              <w:jc w:val="center"/>
              <w:rPr>
                <w:rFonts w:ascii="宋体"/>
                <w:szCs w:val="21"/>
              </w:rPr>
            </w:pPr>
          </w:p>
        </w:tc>
        <w:tc>
          <w:tcPr>
            <w:tcW w:w="520" w:type="dxa"/>
            <w:tcBorders>
              <w:top w:val="single" w:color="auto" w:sz="4" w:space="0"/>
              <w:left w:val="single" w:color="auto" w:sz="4" w:space="0"/>
              <w:bottom w:val="single" w:color="auto" w:sz="4" w:space="0"/>
              <w:right w:val="single" w:color="auto" w:sz="4" w:space="0"/>
            </w:tcBorders>
            <w:vAlign w:val="center"/>
          </w:tcPr>
          <w:p w14:paraId="1C2476A8">
            <w:pPr>
              <w:jc w:val="center"/>
              <w:rPr>
                <w:rFonts w:ascii="宋体"/>
                <w:b/>
                <w:szCs w:val="21"/>
              </w:rPr>
            </w:pPr>
            <w:r>
              <w:rPr>
                <w:rFonts w:ascii="宋体"/>
              </w:rPr>
              <w:t>100</w:t>
            </w:r>
          </w:p>
        </w:tc>
        <w:tc>
          <w:tcPr>
            <w:tcW w:w="970" w:type="dxa"/>
            <w:tcBorders>
              <w:top w:val="single" w:color="auto" w:sz="4" w:space="0"/>
              <w:left w:val="single" w:color="auto" w:sz="4" w:space="0"/>
              <w:bottom w:val="single" w:color="auto" w:sz="4" w:space="0"/>
              <w:right w:val="single" w:color="auto" w:sz="4" w:space="0"/>
            </w:tcBorders>
            <w:vAlign w:val="center"/>
          </w:tcPr>
          <w:p w14:paraId="4B319E94">
            <w:pPr>
              <w:jc w:val="center"/>
              <w:rPr>
                <w:rFonts w:ascii="宋体"/>
                <w:b/>
                <w:szCs w:val="21"/>
              </w:rPr>
            </w:pPr>
            <w:r>
              <w:rPr>
                <w:rFonts w:hint="eastAsia" w:ascii="宋体" w:hAnsi="宋体"/>
              </w:rPr>
              <w:t>投标报价</w:t>
            </w:r>
          </w:p>
        </w:tc>
        <w:tc>
          <w:tcPr>
            <w:tcW w:w="650" w:type="dxa"/>
            <w:tcBorders>
              <w:top w:val="single" w:color="auto" w:sz="4" w:space="0"/>
              <w:left w:val="single" w:color="auto" w:sz="4" w:space="0"/>
              <w:bottom w:val="nil"/>
              <w:right w:val="single" w:color="auto" w:sz="4" w:space="0"/>
            </w:tcBorders>
            <w:vAlign w:val="center"/>
          </w:tcPr>
          <w:p w14:paraId="65A8CE28">
            <w:pPr>
              <w:spacing w:line="440" w:lineRule="exact"/>
              <w:jc w:val="center"/>
              <w:rPr>
                <w:rFonts w:ascii="宋体" w:hAnsi="宋体"/>
              </w:rPr>
            </w:pPr>
            <w:r>
              <w:rPr>
                <w:rFonts w:ascii="宋体" w:hAnsi="宋体"/>
              </w:rPr>
              <w:t>100</w:t>
            </w:r>
          </w:p>
        </w:tc>
        <w:tc>
          <w:tcPr>
            <w:tcW w:w="6153" w:type="dxa"/>
            <w:tcBorders>
              <w:top w:val="single" w:color="auto" w:sz="4" w:space="0"/>
              <w:left w:val="single" w:color="auto" w:sz="4" w:space="0"/>
              <w:bottom w:val="nil"/>
              <w:right w:val="single" w:color="auto" w:sz="4" w:space="0"/>
            </w:tcBorders>
            <w:vAlign w:val="center"/>
          </w:tcPr>
          <w:p w14:paraId="433B2B52">
            <w:pPr>
              <w:widowControl/>
              <w:jc w:val="left"/>
              <w:rPr>
                <w:rFonts w:hint="eastAsia" w:ascii="Arial" w:hAnsi="Arial" w:cs="Arial"/>
                <w:kern w:val="0"/>
                <w:szCs w:val="21"/>
              </w:rPr>
            </w:pPr>
            <w:r>
              <w:rPr>
                <w:rFonts w:hint="eastAsia" w:ascii="Arial" w:hAnsi="Arial" w:cs="Arial"/>
                <w:kern w:val="0"/>
                <w:szCs w:val="21"/>
              </w:rPr>
              <w:t>1、评标基准价为本轮次所有合理有效的最终投标报价的最低价。</w:t>
            </w:r>
          </w:p>
          <w:p w14:paraId="6DE58780">
            <w:pPr>
              <w:widowControl/>
              <w:jc w:val="left"/>
              <w:rPr>
                <w:rFonts w:hint="eastAsia" w:ascii="Arial" w:hAnsi="Arial" w:cs="Arial"/>
                <w:kern w:val="0"/>
                <w:szCs w:val="21"/>
              </w:rPr>
            </w:pPr>
            <w:r>
              <w:rPr>
                <w:rFonts w:hint="eastAsia" w:ascii="Arial" w:hAnsi="Arial" w:cs="Arial"/>
                <w:kern w:val="0"/>
                <w:szCs w:val="21"/>
              </w:rPr>
              <w:t>2、有效的评标基准价得100分；其他投标人的价格得分按下列公式计算：投标价格得分=100×（评标基准价/投标报价）。</w:t>
            </w:r>
          </w:p>
          <w:p w14:paraId="52A6946C">
            <w:pPr>
              <w:tabs>
                <w:tab w:val="left" w:pos="7854"/>
              </w:tabs>
              <w:spacing w:line="280" w:lineRule="exact"/>
              <w:rPr>
                <w:highlight w:val="yellow"/>
              </w:rPr>
            </w:pPr>
            <w:r>
              <w:rPr>
                <w:rFonts w:hint="eastAsia" w:ascii="Arial" w:hAnsi="Arial" w:cs="Arial"/>
                <w:kern w:val="0"/>
                <w:szCs w:val="21"/>
              </w:rPr>
              <w:t>注：得分值取小数点后两位，不足一个百分点的，按照四舍五入法计算。</w:t>
            </w:r>
          </w:p>
        </w:tc>
      </w:tr>
      <w:tr w14:paraId="08A87C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397" w:hRule="atLeast"/>
          <w:jc w:val="center"/>
        </w:trPr>
        <w:tc>
          <w:tcPr>
            <w:tcW w:w="9138" w:type="dxa"/>
            <w:gridSpan w:val="5"/>
            <w:tcBorders>
              <w:top w:val="single" w:color="auto" w:sz="4" w:space="0"/>
              <w:left w:val="single" w:color="auto" w:sz="4" w:space="0"/>
              <w:bottom w:val="single" w:color="auto" w:sz="4" w:space="0"/>
              <w:right w:val="single" w:color="auto" w:sz="4" w:space="0"/>
            </w:tcBorders>
            <w:vAlign w:val="center"/>
          </w:tcPr>
          <w:p w14:paraId="36BAE7AB">
            <w:pPr>
              <w:rPr>
                <w:rFonts w:hint="eastAsia" w:ascii="宋体" w:hAnsi="宋体"/>
              </w:rPr>
            </w:pPr>
            <w:r>
              <w:rPr>
                <w:rFonts w:hint="eastAsia" w:ascii="宋体" w:hAnsi="宋体"/>
              </w:rPr>
              <w:t>备注：</w:t>
            </w:r>
          </w:p>
          <w:p w14:paraId="38D5102A">
            <w:pPr>
              <w:rPr>
                <w:rFonts w:hint="eastAsia" w:ascii="宋体" w:hAnsi="宋体" w:eastAsia="宋体" w:cs="Times New Roman"/>
              </w:rPr>
            </w:pPr>
            <w:r>
              <w:rPr>
                <w:rFonts w:hint="eastAsia" w:ascii="宋体" w:hAnsi="宋体"/>
              </w:rPr>
              <w:t>1</w:t>
            </w:r>
            <w:r>
              <w:rPr>
                <w:rFonts w:hint="eastAsia" w:ascii="宋体" w:hAnsi="宋体" w:eastAsia="宋体" w:cs="Times New Roman"/>
              </w:rPr>
              <w:t>、投标人技术标的最终得分为所有评委打分汇总后的算术平均值。技术标根据评分办法进行打分，技术标评标小组推荐至少3家技术得分80分（含）以上的投标人入围，技术入围投标人不足三家时，本次按废标处理，招标人有权根据招标采购管理流程重新组织招标。评标过程中必须确保推荐的入围候选中标人，在功能、质量、先进性、业绩等方面均符合招标标准要求。</w:t>
            </w:r>
          </w:p>
          <w:p w14:paraId="0E62D6C0">
            <w:pPr>
              <w:rPr>
                <w:highlight w:val="yellow"/>
              </w:rPr>
            </w:pPr>
            <w:r>
              <w:rPr>
                <w:rFonts w:hint="eastAsia" w:ascii="宋体" w:hAnsi="宋体" w:eastAsia="宋体" w:cs="Times New Roman"/>
                <w:highlight w:val="yellow"/>
              </w:rPr>
              <w:t>2、</w:t>
            </w:r>
            <w:r>
              <w:rPr>
                <w:rFonts w:hint="eastAsia" w:ascii="宋体" w:hAnsi="宋体" w:eastAsia="宋体" w:cs="Times New Roman"/>
                <w:highlight w:val="yellow"/>
                <w:lang w:val="en-US" w:eastAsia="zh-CN"/>
              </w:rPr>
              <w:t>综合得分=技术分</w:t>
            </w:r>
            <w:r>
              <w:rPr>
                <w:rFonts w:hint="eastAsia" w:ascii="宋体" w:hAnsi="宋体" w:eastAsia="宋体" w:cs="Times New Roman"/>
                <w:highlight w:val="yellow"/>
              </w:rPr>
              <w:t>×</w:t>
            </w:r>
            <w:r>
              <w:rPr>
                <w:rFonts w:hint="eastAsia" w:ascii="宋体" w:hAnsi="宋体" w:eastAsia="宋体" w:cs="Times New Roman"/>
                <w:highlight w:val="yellow"/>
                <w:lang w:val="en-US" w:eastAsia="zh-CN"/>
              </w:rPr>
              <w:t>40%+商务标得分</w:t>
            </w:r>
            <w:r>
              <w:rPr>
                <w:rFonts w:hint="eastAsia" w:ascii="宋体" w:hAnsi="宋体" w:eastAsia="宋体" w:cs="Times New Roman"/>
                <w:highlight w:val="yellow"/>
              </w:rPr>
              <w:t>×</w:t>
            </w:r>
            <w:r>
              <w:rPr>
                <w:rFonts w:hint="eastAsia" w:ascii="宋体" w:hAnsi="宋体" w:eastAsia="宋体" w:cs="Times New Roman"/>
                <w:highlight w:val="yellow"/>
                <w:lang w:val="en-US" w:eastAsia="zh-CN"/>
              </w:rPr>
              <w:t>60%。</w:t>
            </w:r>
          </w:p>
          <w:p w14:paraId="37045112">
            <w:pPr>
              <w:rPr>
                <w:rFonts w:ascii="宋体"/>
              </w:rPr>
            </w:pPr>
            <w:r>
              <w:rPr>
                <w:rFonts w:hint="eastAsia" w:ascii="宋体" w:hAnsi="宋体"/>
                <w:lang w:val="en-US" w:eastAsia="zh-CN"/>
              </w:rPr>
              <w:t>3</w:t>
            </w:r>
            <w:r>
              <w:rPr>
                <w:rFonts w:hint="eastAsia" w:ascii="宋体" w:hAnsi="宋体"/>
              </w:rPr>
              <w:t>、通过初审者为有效投标。</w:t>
            </w:r>
          </w:p>
          <w:p w14:paraId="310944E1">
            <w:pPr>
              <w:rPr>
                <w:rFonts w:hint="eastAsia" w:ascii="宋体" w:hAnsi="宋体"/>
              </w:rPr>
            </w:pPr>
            <w:r>
              <w:rPr>
                <w:rFonts w:hint="eastAsia" w:ascii="宋体" w:hAnsi="宋体"/>
                <w:lang w:val="en-US" w:eastAsia="zh-CN"/>
              </w:rPr>
              <w:t>4</w:t>
            </w:r>
            <w:r>
              <w:rPr>
                <w:rFonts w:hint="eastAsia" w:ascii="宋体" w:hAnsi="宋体"/>
              </w:rPr>
              <w:t>、</w:t>
            </w:r>
            <w:r>
              <w:rPr>
                <w:rFonts w:hint="eastAsia" w:ascii="??" w:hAnsi="??"/>
              </w:rPr>
              <w:t>综合评价值相同的，依照价格、技术、商务、服务及其他评价内容的优先次序，根据分项评价值进行排名。</w:t>
            </w:r>
            <w:r>
              <w:rPr>
                <w:rFonts w:hint="eastAsia" w:ascii="宋体" w:hAnsi="宋体"/>
              </w:rPr>
              <w:t>若上述排名皆相同的，则由全体评委成员无记名投票，得票高者排序在前。</w:t>
            </w:r>
          </w:p>
          <w:p w14:paraId="1022425E">
            <w:pPr>
              <w:rPr>
                <w:rFonts w:ascii="宋体" w:hAnsi="宋体"/>
              </w:rPr>
            </w:pPr>
            <w:r>
              <w:rPr>
                <w:rFonts w:hint="eastAsia" w:ascii="宋体" w:hAnsi="宋体"/>
                <w:lang w:val="en-US" w:eastAsia="zh-CN"/>
              </w:rPr>
              <w:t>5</w:t>
            </w:r>
            <w:r>
              <w:rPr>
                <w:rFonts w:hint="eastAsia" w:ascii="宋体" w:hAnsi="宋体"/>
              </w:rPr>
              <w:t>、评委打分超过得分界限或未按本方法赋分时，该评委的打分按废票处理。</w:t>
            </w:r>
          </w:p>
          <w:p w14:paraId="19F4E6B9">
            <w:pPr>
              <w:rPr>
                <w:rFonts w:ascii="宋体"/>
                <w:szCs w:val="21"/>
              </w:rPr>
            </w:pPr>
            <w:r>
              <w:rPr>
                <w:rFonts w:hint="eastAsia" w:ascii="宋体" w:hAnsi="宋体"/>
                <w:lang w:val="en-US" w:eastAsia="zh-CN"/>
              </w:rPr>
              <w:t>6</w:t>
            </w:r>
            <w:r>
              <w:rPr>
                <w:rFonts w:hint="eastAsia" w:ascii="宋体" w:hAnsi="宋体"/>
              </w:rPr>
              <w:t>、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tc>
      </w:tr>
    </w:tbl>
    <w:p w14:paraId="57E57970">
      <w:pPr>
        <w:pStyle w:val="73"/>
        <w:numPr>
          <w:ilvl w:val="0"/>
          <w:numId w:val="0"/>
        </w:numPr>
        <w:rPr>
          <w:rFonts w:ascii="宋体" w:hAnsi="宋体" w:eastAsia="宋体" w:cs="宋体"/>
          <w:b w:val="0"/>
          <w:bCs w:val="0"/>
          <w:sz w:val="24"/>
          <w:szCs w:val="24"/>
        </w:rPr>
      </w:pPr>
    </w:p>
    <w:p w14:paraId="07889F2A">
      <w:pPr>
        <w:pStyle w:val="73"/>
      </w:pPr>
      <w:r>
        <w:rPr>
          <w:rFonts w:hint="eastAsia"/>
        </w:rPr>
        <w:t>定标</w:t>
      </w:r>
    </w:p>
    <w:p w14:paraId="07AB5891">
      <w:pPr>
        <w:pStyle w:val="73"/>
        <w:numPr>
          <w:ilvl w:val="0"/>
          <w:numId w:val="0"/>
        </w:numPr>
        <w:rPr>
          <w:rFonts w:ascii="宋体" w:hAnsi="宋体" w:eastAsia="宋体" w:cs="宋体"/>
          <w:b w:val="0"/>
          <w:bCs w:val="0"/>
          <w:sz w:val="21"/>
          <w:szCs w:val="21"/>
        </w:rPr>
      </w:pPr>
      <w:r>
        <w:rPr>
          <w:rFonts w:hint="eastAsia" w:ascii="宋体" w:hAnsi="宋体" w:eastAsia="宋体" w:cs="宋体"/>
          <w:b w:val="0"/>
          <w:bCs w:val="0"/>
          <w:sz w:val="21"/>
          <w:szCs w:val="21"/>
        </w:rPr>
        <w:t>本项目只产生</w:t>
      </w:r>
      <w:r>
        <w:rPr>
          <w:rFonts w:ascii="宋体" w:hAnsi="宋体" w:eastAsia="宋体" w:cs="宋体"/>
          <w:b w:val="0"/>
          <w:bCs w:val="0"/>
          <w:sz w:val="21"/>
          <w:szCs w:val="21"/>
          <w:u w:val="single"/>
        </w:rPr>
        <w:t>1</w:t>
      </w:r>
      <w:r>
        <w:rPr>
          <w:rFonts w:hint="eastAsia" w:ascii="宋体" w:hAnsi="宋体" w:eastAsia="宋体" w:cs="宋体"/>
          <w:b w:val="0"/>
          <w:bCs w:val="0"/>
          <w:sz w:val="21"/>
          <w:szCs w:val="21"/>
        </w:rPr>
        <w:t>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变更意向中标人。</w:t>
      </w:r>
    </w:p>
    <w:p w14:paraId="1F2B22AE">
      <w:pPr>
        <w:pStyle w:val="73"/>
      </w:pPr>
      <w:r>
        <w:rPr>
          <w:rFonts w:hint="eastAsia"/>
        </w:rPr>
        <w:t>废标及终止招标</w:t>
      </w:r>
    </w:p>
    <w:p w14:paraId="7C367B3F">
      <w:pPr>
        <w:spacing w:line="360" w:lineRule="auto"/>
        <w:rPr>
          <w:rFonts w:ascii="宋体" w:hAnsi="宋体" w:cs="宋体"/>
          <w:color w:val="000000"/>
          <w:szCs w:val="21"/>
        </w:rPr>
      </w:pPr>
      <w:r>
        <w:rPr>
          <w:rFonts w:ascii="宋体" w:hAnsi="宋体" w:cs="宋体"/>
          <w:color w:val="000000"/>
          <w:szCs w:val="21"/>
        </w:rPr>
        <w:t>1.</w:t>
      </w:r>
      <w:r>
        <w:rPr>
          <w:rFonts w:hint="eastAsia" w:ascii="宋体" w:hAnsi="宋体" w:cs="宋体"/>
          <w:color w:val="000000"/>
          <w:szCs w:val="21"/>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67F321B8">
      <w:pPr>
        <w:spacing w:line="360" w:lineRule="auto"/>
        <w:ind w:left="425" w:right="2" w:hanging="425"/>
        <w:rPr>
          <w:rFonts w:ascii="宋体" w:hAnsi="宋体" w:cs="宋体"/>
          <w:color w:val="000000"/>
          <w:szCs w:val="21"/>
        </w:rPr>
      </w:pPr>
      <w:r>
        <w:rPr>
          <w:rFonts w:ascii="宋体" w:hAnsi="宋体" w:cs="宋体"/>
          <w:color w:val="000000"/>
          <w:szCs w:val="21"/>
        </w:rPr>
        <w:t>(1)</w:t>
      </w:r>
      <w:r>
        <w:rPr>
          <w:rFonts w:hint="eastAsia" w:ascii="宋体" w:hAnsi="宋体" w:cs="宋体"/>
          <w:color w:val="000000"/>
          <w:szCs w:val="21"/>
        </w:rPr>
        <w:t>投标人提供的有关资格、资质证明文件不合格、不真实或提供虚假投标材料；</w:t>
      </w:r>
    </w:p>
    <w:p w14:paraId="024F7821">
      <w:pPr>
        <w:spacing w:line="360" w:lineRule="auto"/>
        <w:ind w:left="425" w:right="2" w:hanging="425"/>
        <w:rPr>
          <w:rFonts w:ascii="宋体" w:hAnsi="宋体" w:cs="宋体"/>
          <w:color w:val="000000"/>
          <w:szCs w:val="21"/>
        </w:rPr>
      </w:pPr>
      <w:r>
        <w:rPr>
          <w:rFonts w:ascii="宋体" w:hAnsi="宋体" w:cs="宋体"/>
          <w:color w:val="000000"/>
          <w:szCs w:val="21"/>
        </w:rPr>
        <w:t>(2)</w:t>
      </w:r>
      <w:r>
        <w:rPr>
          <w:rFonts w:hint="eastAsia" w:ascii="宋体" w:hAnsi="宋体" w:cs="宋体"/>
          <w:color w:val="000000"/>
          <w:szCs w:val="21"/>
        </w:rPr>
        <w:t>投标人在报价有效期内撤回投标；</w:t>
      </w:r>
    </w:p>
    <w:p w14:paraId="426A507D">
      <w:pPr>
        <w:spacing w:line="360" w:lineRule="auto"/>
        <w:ind w:left="425" w:right="2" w:hanging="425"/>
        <w:rPr>
          <w:rFonts w:ascii="宋体" w:hAnsi="宋体" w:cs="宋体"/>
          <w:color w:val="000000"/>
          <w:szCs w:val="21"/>
        </w:rPr>
      </w:pPr>
      <w:r>
        <w:rPr>
          <w:rFonts w:ascii="宋体" w:hAnsi="宋体" w:cs="宋体"/>
          <w:color w:val="000000"/>
          <w:szCs w:val="21"/>
        </w:rPr>
        <w:t>(3)</w:t>
      </w:r>
      <w:r>
        <w:rPr>
          <w:rFonts w:hint="eastAsia" w:ascii="宋体" w:hAnsi="宋体" w:cs="宋体"/>
          <w:color w:val="000000"/>
          <w:szCs w:val="21"/>
        </w:rPr>
        <w:t>在整个评标过程中，投标人有企图影响评标结果公正性的任何活动；</w:t>
      </w:r>
    </w:p>
    <w:p w14:paraId="730E439B">
      <w:pPr>
        <w:spacing w:line="360" w:lineRule="auto"/>
        <w:ind w:left="425" w:right="2" w:hanging="425"/>
        <w:rPr>
          <w:rFonts w:ascii="宋体" w:hAnsi="宋体" w:cs="宋体"/>
          <w:color w:val="000000"/>
          <w:szCs w:val="21"/>
        </w:rPr>
      </w:pPr>
      <w:r>
        <w:rPr>
          <w:rFonts w:ascii="宋体" w:hAnsi="宋体" w:cs="宋体"/>
          <w:color w:val="000000"/>
          <w:szCs w:val="21"/>
        </w:rPr>
        <w:t>(4)</w:t>
      </w:r>
      <w:r>
        <w:rPr>
          <w:rFonts w:hint="eastAsia" w:ascii="宋体" w:hAnsi="宋体" w:cs="宋体"/>
          <w:color w:val="000000"/>
          <w:szCs w:val="21"/>
        </w:rPr>
        <w:t>投标人以任何方式诋毁其他投标人；</w:t>
      </w:r>
      <w:r>
        <w:rPr>
          <w:rFonts w:ascii="宋体" w:hAnsi="宋体" w:cs="宋体"/>
          <w:color w:val="000000"/>
          <w:szCs w:val="21"/>
        </w:rPr>
        <w:t xml:space="preserve"> </w:t>
      </w:r>
    </w:p>
    <w:p w14:paraId="03B02673">
      <w:pPr>
        <w:spacing w:line="360" w:lineRule="auto"/>
        <w:ind w:left="425" w:right="2" w:hanging="425"/>
        <w:rPr>
          <w:rFonts w:ascii="宋体" w:hAnsi="宋体" w:cs="宋体"/>
          <w:color w:val="000000"/>
          <w:szCs w:val="21"/>
        </w:rPr>
      </w:pPr>
      <w:r>
        <w:rPr>
          <w:rFonts w:ascii="宋体" w:hAnsi="宋体" w:cs="宋体"/>
          <w:color w:val="000000"/>
          <w:szCs w:val="21"/>
        </w:rPr>
        <w:t>(5)</w:t>
      </w:r>
      <w:r>
        <w:rPr>
          <w:rFonts w:hint="eastAsia" w:ascii="宋体" w:hAnsi="宋体" w:cs="宋体"/>
          <w:color w:val="000000"/>
          <w:szCs w:val="21"/>
        </w:rPr>
        <w:t>投标人串通投标；</w:t>
      </w:r>
      <w:r>
        <w:rPr>
          <w:rFonts w:ascii="宋体" w:hAnsi="宋体" w:cs="宋体"/>
          <w:color w:val="000000"/>
          <w:szCs w:val="21"/>
        </w:rPr>
        <w:t xml:space="preserve"> </w:t>
      </w:r>
    </w:p>
    <w:p w14:paraId="5603F595">
      <w:pPr>
        <w:pStyle w:val="15"/>
        <w:spacing w:line="360" w:lineRule="auto"/>
        <w:ind w:left="425" w:hanging="425"/>
        <w:rPr>
          <w:rFonts w:hAnsi="宋体" w:cs="宋体"/>
          <w:szCs w:val="21"/>
        </w:rPr>
      </w:pPr>
      <w:r>
        <w:rPr>
          <w:rFonts w:hAnsi="宋体" w:cs="宋体"/>
          <w:szCs w:val="21"/>
        </w:rPr>
        <w:t>(6)</w:t>
      </w:r>
      <w:r>
        <w:rPr>
          <w:rFonts w:hint="eastAsia" w:hAnsi="宋体" w:cs="宋体"/>
          <w:color w:val="000000"/>
          <w:szCs w:val="21"/>
        </w:rPr>
        <w:t>投标人被举报、检举，并经招标人查实无误的；</w:t>
      </w:r>
    </w:p>
    <w:p w14:paraId="172FFDD6">
      <w:pPr>
        <w:spacing w:line="360" w:lineRule="auto"/>
        <w:ind w:left="425" w:right="2" w:hanging="425"/>
        <w:rPr>
          <w:rFonts w:ascii="宋体" w:hAnsi="宋体" w:cs="宋体"/>
          <w:color w:val="000000"/>
          <w:szCs w:val="21"/>
        </w:rPr>
      </w:pPr>
      <w:r>
        <w:rPr>
          <w:rFonts w:ascii="宋体" w:hAnsi="宋体" w:cs="宋体"/>
          <w:color w:val="000000"/>
          <w:szCs w:val="21"/>
        </w:rPr>
        <w:t>(7)</w:t>
      </w:r>
      <w:r>
        <w:rPr>
          <w:rFonts w:hint="eastAsia" w:ascii="宋体" w:hAnsi="宋体" w:cs="宋体"/>
          <w:color w:val="000000"/>
          <w:szCs w:val="21"/>
        </w:rPr>
        <w:t>以他人名义投标或者以其他方式弄虚作假，骗取中标的；</w:t>
      </w:r>
    </w:p>
    <w:p w14:paraId="3C664852">
      <w:pPr>
        <w:spacing w:line="360" w:lineRule="auto"/>
        <w:rPr>
          <w:rFonts w:ascii="宋体" w:hAnsi="宋体" w:cs="宋体"/>
          <w:szCs w:val="21"/>
        </w:rPr>
      </w:pPr>
      <w:r>
        <w:rPr>
          <w:rFonts w:ascii="宋体" w:hAnsi="宋体" w:cs="宋体"/>
          <w:szCs w:val="21"/>
        </w:rPr>
        <w:t>(8)</w:t>
      </w:r>
      <w:r>
        <w:rPr>
          <w:rFonts w:hint="eastAsia" w:ascii="宋体" w:hAnsi="宋体" w:cs="宋体"/>
          <w:szCs w:val="21"/>
        </w:rPr>
        <w:t>投标人负责人为同一人或者存在控股、管理关系的不同单位；</w:t>
      </w:r>
      <w:r>
        <w:rPr>
          <w:rFonts w:ascii="宋体" w:hAnsi="宋体" w:cs="宋体"/>
          <w:szCs w:val="21"/>
        </w:rPr>
        <w:t xml:space="preserve"> </w:t>
      </w:r>
    </w:p>
    <w:p w14:paraId="28B4BEA4">
      <w:pPr>
        <w:rPr>
          <w:rFonts w:ascii="宋体" w:hAnsi="宋体" w:cs="宋体"/>
          <w:szCs w:val="21"/>
        </w:rPr>
      </w:pPr>
      <w:r>
        <w:rPr>
          <w:rFonts w:ascii="宋体" w:hAnsi="宋体" w:cs="宋体"/>
          <w:szCs w:val="21"/>
        </w:rPr>
        <w:t>(9)</w:t>
      </w:r>
      <w:r>
        <w:rPr>
          <w:rFonts w:hint="eastAsia" w:ascii="宋体" w:hAnsi="宋体" w:cs="宋体"/>
          <w:szCs w:val="21"/>
        </w:rPr>
        <w:t>有效投标不足三家；</w:t>
      </w:r>
      <w:r>
        <w:rPr>
          <w:rFonts w:ascii="宋体" w:hAnsi="宋体" w:cs="宋体"/>
          <w:szCs w:val="21"/>
        </w:rPr>
        <w:t xml:space="preserve"> </w:t>
      </w:r>
    </w:p>
    <w:p w14:paraId="5BA469D9">
      <w:pPr>
        <w:spacing w:line="360" w:lineRule="auto"/>
        <w:ind w:left="425" w:right="2" w:hanging="425"/>
        <w:rPr>
          <w:rFonts w:ascii="宋体" w:hAnsi="宋体" w:cs="宋体"/>
          <w:szCs w:val="21"/>
        </w:rPr>
      </w:pPr>
      <w:r>
        <w:rPr>
          <w:rFonts w:ascii="宋体" w:hAnsi="宋体" w:cs="宋体"/>
          <w:szCs w:val="21"/>
        </w:rPr>
        <w:t>(10)</w:t>
      </w:r>
      <w:r>
        <w:rPr>
          <w:rFonts w:hint="eastAsia" w:ascii="宋体" w:hAnsi="宋体" w:cs="宋体"/>
          <w:szCs w:val="21"/>
        </w:rPr>
        <w:t>不同投标人的投标文件异常一致或者投标报价呈规律性差异的；</w:t>
      </w:r>
    </w:p>
    <w:p w14:paraId="086A6F71">
      <w:pPr>
        <w:spacing w:line="360" w:lineRule="auto"/>
        <w:ind w:left="425" w:right="2" w:hanging="425"/>
        <w:rPr>
          <w:rFonts w:ascii="宋体" w:hAnsi="宋体" w:cs="宋体"/>
          <w:szCs w:val="21"/>
        </w:rPr>
      </w:pPr>
      <w:r>
        <w:rPr>
          <w:rFonts w:ascii="宋体" w:hAnsi="宋体" w:cs="宋体"/>
          <w:szCs w:val="21"/>
        </w:rPr>
        <w:t>(11)</w:t>
      </w:r>
      <w:r>
        <w:rPr>
          <w:rFonts w:hint="eastAsia" w:ascii="宋体" w:hAnsi="宋体" w:cs="宋体"/>
          <w:szCs w:val="21"/>
        </w:rPr>
        <w:t>投标人报价均超过最高限价的；</w:t>
      </w:r>
    </w:p>
    <w:p w14:paraId="12E6CC62">
      <w:pPr>
        <w:spacing w:line="360" w:lineRule="auto"/>
        <w:ind w:left="425" w:right="2" w:hanging="425"/>
        <w:rPr>
          <w:rFonts w:ascii="宋体" w:hAnsi="宋体" w:cs="宋体"/>
          <w:color w:val="000000"/>
          <w:szCs w:val="21"/>
        </w:rPr>
      </w:pPr>
      <w:r>
        <w:rPr>
          <w:rFonts w:ascii="宋体" w:hAnsi="宋体" w:cs="宋体"/>
          <w:color w:val="000000"/>
          <w:szCs w:val="21"/>
        </w:rPr>
        <w:t>(12)</w:t>
      </w:r>
      <w:r>
        <w:rPr>
          <w:rFonts w:hint="eastAsia" w:ascii="宋体" w:hAnsi="宋体" w:cs="宋体"/>
          <w:color w:val="000000"/>
          <w:szCs w:val="21"/>
        </w:rPr>
        <w:t>未按要求填报商务报价资料，对招标开展造成较大影响；</w:t>
      </w:r>
    </w:p>
    <w:p w14:paraId="26EB01EC">
      <w:pPr>
        <w:spacing w:line="360" w:lineRule="auto"/>
        <w:ind w:left="425" w:right="2" w:hanging="425"/>
        <w:rPr>
          <w:rFonts w:ascii="宋体" w:hAnsi="宋体" w:cs="宋体"/>
          <w:color w:val="000000"/>
          <w:szCs w:val="21"/>
        </w:rPr>
      </w:pPr>
      <w:r>
        <w:rPr>
          <w:rFonts w:ascii="宋体" w:hAnsi="宋体" w:cs="宋体"/>
          <w:color w:val="000000"/>
          <w:szCs w:val="21"/>
        </w:rPr>
        <w:t>(13)</w:t>
      </w:r>
      <w:r>
        <w:rPr>
          <w:rFonts w:hint="eastAsia" w:ascii="宋体" w:hAnsi="宋体" w:cs="宋体"/>
          <w:szCs w:val="21"/>
        </w:rPr>
        <w:t>未按照招标人规定的时间内在中国重汽e采通完成投标的；</w:t>
      </w:r>
    </w:p>
    <w:p w14:paraId="0F990E9A">
      <w:pPr>
        <w:spacing w:line="360" w:lineRule="auto"/>
        <w:ind w:left="425" w:right="2" w:hanging="425"/>
        <w:rPr>
          <w:rFonts w:ascii="宋体" w:hAnsi="宋体" w:cs="宋体"/>
          <w:color w:val="000000"/>
          <w:szCs w:val="21"/>
        </w:rPr>
      </w:pPr>
      <w:r>
        <w:rPr>
          <w:rFonts w:ascii="宋体" w:hAnsi="宋体" w:cs="宋体"/>
          <w:color w:val="000000"/>
          <w:szCs w:val="21"/>
        </w:rPr>
        <w:t>(14)</w:t>
      </w:r>
      <w:r>
        <w:rPr>
          <w:rFonts w:hint="eastAsia" w:ascii="宋体" w:hAnsi="宋体" w:cs="宋体"/>
          <w:color w:val="000000"/>
          <w:szCs w:val="21"/>
        </w:rPr>
        <w:t>法律、法规规定的其他情况。</w:t>
      </w:r>
    </w:p>
    <w:p w14:paraId="1217092C">
      <w:pPr>
        <w:spacing w:line="360" w:lineRule="auto"/>
        <w:ind w:left="425" w:right="2" w:hanging="425"/>
        <w:rPr>
          <w:rFonts w:ascii="宋体" w:hAnsi="宋体" w:cs="宋体"/>
          <w:szCs w:val="21"/>
        </w:rPr>
      </w:pPr>
      <w:r>
        <w:rPr>
          <w:rFonts w:hint="eastAsia" w:ascii="宋体" w:hAnsi="宋体" w:cs="宋体"/>
          <w:szCs w:val="21"/>
        </w:rPr>
        <w:t>2</w:t>
      </w:r>
      <w:r>
        <w:rPr>
          <w:rFonts w:ascii="宋体" w:hAnsi="宋体" w:cs="宋体"/>
          <w:szCs w:val="21"/>
        </w:rPr>
        <w:t>.</w:t>
      </w:r>
      <w:r>
        <w:rPr>
          <w:rFonts w:hint="eastAsia" w:ascii="宋体" w:hAnsi="宋体" w:cs="宋体"/>
          <w:szCs w:val="21"/>
        </w:rPr>
        <w:t>出现下列情形之一，招标人有权否决所有投标人的投标，并终止招标。</w:t>
      </w:r>
    </w:p>
    <w:p w14:paraId="0D7CBE07">
      <w:pPr>
        <w:rPr>
          <w:rFonts w:ascii="宋体" w:hAnsi="宋体" w:cs="宋体"/>
          <w:b/>
          <w:bCs/>
          <w:color w:val="FF0000"/>
          <w:sz w:val="18"/>
          <w:szCs w:val="18"/>
        </w:rPr>
      </w:pPr>
      <w:r>
        <w:rPr>
          <w:rFonts w:ascii="宋体" w:hAnsi="宋体" w:cs="宋体"/>
          <w:szCs w:val="21"/>
        </w:rPr>
        <w:t>(</w:t>
      </w:r>
      <w:r>
        <w:rPr>
          <w:rFonts w:hint="eastAsia" w:ascii="宋体" w:hAnsi="宋体" w:cs="宋体"/>
          <w:szCs w:val="21"/>
        </w:rPr>
        <w:t>1</w:t>
      </w:r>
      <w:r>
        <w:rPr>
          <w:rFonts w:ascii="宋体" w:hAnsi="宋体" w:cs="宋体"/>
          <w:szCs w:val="21"/>
        </w:rPr>
        <w:t>)</w:t>
      </w:r>
      <w:r>
        <w:rPr>
          <w:rFonts w:hint="eastAsia" w:ascii="宋体" w:hAnsi="宋体" w:cs="宋体"/>
          <w:szCs w:val="21"/>
          <w:highlight w:val="yellow"/>
        </w:rPr>
        <w:t>符合条件的投标人或者对招标文件做实质响应的投标人不足三家的；</w:t>
      </w:r>
    </w:p>
    <w:p w14:paraId="64F69012">
      <w:pPr>
        <w:spacing w:line="360" w:lineRule="auto"/>
        <w:ind w:left="425" w:right="2" w:hanging="425"/>
        <w:rPr>
          <w:rFonts w:ascii="宋体" w:hAnsi="宋体" w:cs="宋体"/>
          <w:szCs w:val="21"/>
        </w:rPr>
      </w:pPr>
      <w:r>
        <w:rPr>
          <w:rFonts w:ascii="宋体" w:hAnsi="宋体" w:cs="宋体"/>
          <w:szCs w:val="21"/>
        </w:rPr>
        <w:t>(</w:t>
      </w:r>
      <w:r>
        <w:rPr>
          <w:rFonts w:hint="eastAsia" w:ascii="宋体" w:hAnsi="宋体" w:cs="宋体"/>
          <w:szCs w:val="21"/>
        </w:rPr>
        <w:t>2</w:t>
      </w:r>
      <w:r>
        <w:rPr>
          <w:rFonts w:ascii="宋体" w:hAnsi="宋体" w:cs="宋体"/>
          <w:szCs w:val="21"/>
        </w:rPr>
        <w:t>)</w:t>
      </w:r>
      <w:r>
        <w:rPr>
          <w:rFonts w:hint="eastAsia" w:ascii="宋体" w:hAnsi="宋体" w:cs="宋体"/>
          <w:szCs w:val="21"/>
        </w:rPr>
        <w:t>出现影响采购公正的违法、违规行为的；</w:t>
      </w:r>
    </w:p>
    <w:p w14:paraId="5C543803">
      <w:pPr>
        <w:spacing w:line="360" w:lineRule="auto"/>
        <w:ind w:left="425" w:right="2" w:hanging="425"/>
        <w:rPr>
          <w:rFonts w:ascii="宋体" w:hAnsi="宋体" w:cs="宋体"/>
          <w:bCs/>
          <w:szCs w:val="21"/>
        </w:rPr>
      </w:pPr>
      <w:r>
        <w:rPr>
          <w:rFonts w:ascii="宋体" w:hAnsi="宋体" w:cs="宋体"/>
          <w:bCs/>
          <w:szCs w:val="21"/>
        </w:rPr>
        <w:t>(</w:t>
      </w:r>
      <w:r>
        <w:rPr>
          <w:rFonts w:hint="eastAsia" w:ascii="宋体" w:hAnsi="宋体" w:cs="宋体"/>
          <w:bCs/>
          <w:szCs w:val="21"/>
        </w:rPr>
        <w:t>3</w:t>
      </w:r>
      <w:r>
        <w:rPr>
          <w:rFonts w:ascii="宋体" w:hAnsi="宋体" w:cs="宋体"/>
          <w:bCs/>
          <w:szCs w:val="21"/>
        </w:rPr>
        <w:t>)</w:t>
      </w:r>
      <w:r>
        <w:rPr>
          <w:rFonts w:hint="eastAsia" w:ascii="宋体" w:hAnsi="宋体" w:cs="宋体"/>
          <w:bCs/>
          <w:szCs w:val="21"/>
        </w:rPr>
        <w:t>评标委员会经评审，认为所有投标都不符合招标文件要求的；</w:t>
      </w:r>
    </w:p>
    <w:p w14:paraId="2BAC9E98">
      <w:pPr>
        <w:spacing w:line="360" w:lineRule="auto"/>
        <w:ind w:left="425" w:right="2" w:hanging="425"/>
        <w:rPr>
          <w:rFonts w:ascii="宋体" w:hAnsi="宋体" w:cs="宋体"/>
          <w:bCs/>
          <w:szCs w:val="21"/>
        </w:rPr>
      </w:pPr>
      <w:r>
        <w:rPr>
          <w:rFonts w:ascii="宋体" w:hAnsi="宋体" w:cs="宋体"/>
          <w:bCs/>
          <w:szCs w:val="21"/>
        </w:rPr>
        <w:t>(</w:t>
      </w:r>
      <w:r>
        <w:rPr>
          <w:rFonts w:hint="eastAsia" w:ascii="宋体" w:hAnsi="宋体" w:cs="宋体"/>
          <w:bCs/>
          <w:szCs w:val="21"/>
        </w:rPr>
        <w:t>4</w:t>
      </w:r>
      <w:r>
        <w:rPr>
          <w:rFonts w:ascii="宋体" w:hAnsi="宋体" w:cs="宋体"/>
          <w:bCs/>
          <w:szCs w:val="21"/>
        </w:rPr>
        <w:t>)</w:t>
      </w:r>
      <w:r>
        <w:rPr>
          <w:rFonts w:hint="eastAsia" w:ascii="宋体" w:hAnsi="宋体" w:cs="宋体"/>
          <w:bCs/>
          <w:szCs w:val="21"/>
        </w:rPr>
        <w:t>因重大变故，采购任务取消的</w:t>
      </w:r>
      <w:bookmarkStart w:id="6" w:name="OLE_LINK27"/>
      <w:bookmarkStart w:id="7" w:name="OLE_LINK29"/>
      <w:bookmarkStart w:id="8" w:name="OLE_LINK28"/>
      <w:bookmarkStart w:id="9" w:name="OLE_LINK25"/>
      <w:bookmarkStart w:id="10" w:name="OLE_LINK26"/>
      <w:r>
        <w:rPr>
          <w:rFonts w:hint="eastAsia" w:ascii="宋体" w:hAnsi="宋体" w:cs="宋体"/>
          <w:bCs/>
          <w:szCs w:val="21"/>
        </w:rPr>
        <w:t>；</w:t>
      </w:r>
      <w:bookmarkEnd w:id="6"/>
      <w:bookmarkEnd w:id="7"/>
      <w:bookmarkEnd w:id="8"/>
      <w:bookmarkEnd w:id="9"/>
      <w:bookmarkEnd w:id="10"/>
    </w:p>
    <w:p w14:paraId="6947FAF0">
      <w:pPr>
        <w:pStyle w:val="15"/>
        <w:spacing w:line="360" w:lineRule="auto"/>
        <w:ind w:left="425" w:hanging="425"/>
        <w:rPr>
          <w:rFonts w:hAnsi="宋体" w:cs="宋体"/>
          <w:bCs/>
          <w:szCs w:val="21"/>
        </w:rPr>
      </w:pPr>
      <w:r>
        <w:rPr>
          <w:rFonts w:hAnsi="宋体" w:cs="宋体"/>
          <w:bCs/>
          <w:szCs w:val="21"/>
        </w:rPr>
        <w:t>(</w:t>
      </w:r>
      <w:r>
        <w:rPr>
          <w:rFonts w:hint="eastAsia" w:hAnsi="宋体" w:cs="宋体"/>
          <w:bCs/>
          <w:szCs w:val="21"/>
        </w:rPr>
        <w:t>5</w:t>
      </w:r>
      <w:r>
        <w:rPr>
          <w:rFonts w:hAnsi="宋体" w:cs="宋体"/>
          <w:bCs/>
          <w:szCs w:val="21"/>
        </w:rPr>
        <w:t>)</w:t>
      </w:r>
      <w:r>
        <w:rPr>
          <w:rFonts w:hint="eastAsia" w:hAnsi="宋体" w:cs="宋体"/>
          <w:bCs/>
          <w:szCs w:val="21"/>
        </w:rPr>
        <w:t>招标人认为其他应终止招标的情形。</w:t>
      </w:r>
    </w:p>
    <w:p w14:paraId="3E72DF55">
      <w:pPr>
        <w:spacing w:line="360" w:lineRule="auto"/>
        <w:rPr>
          <w:szCs w:val="21"/>
        </w:rPr>
      </w:pPr>
      <w:r>
        <w:rPr>
          <w:rFonts w:hint="eastAsia" w:ascii="宋体" w:hAnsi="宋体" w:cs="宋体"/>
          <w:szCs w:val="21"/>
        </w:rPr>
        <w:t>3</w:t>
      </w:r>
      <w:r>
        <w:rPr>
          <w:szCs w:val="21"/>
        </w:rPr>
        <w:t>.</w:t>
      </w:r>
      <w:r>
        <w:rPr>
          <w:rFonts w:hint="eastAsia" w:ascii="宋体" w:hAnsi="宋体" w:cs="宋体"/>
          <w:color w:val="000000"/>
          <w:szCs w:val="21"/>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187F2971">
      <w:pPr>
        <w:pStyle w:val="73"/>
      </w:pPr>
      <w:r>
        <w:rPr>
          <w:rFonts w:hint="eastAsia"/>
        </w:rPr>
        <w:t>合同签订</w:t>
      </w:r>
    </w:p>
    <w:p w14:paraId="50213901">
      <w:pPr>
        <w:spacing w:line="360" w:lineRule="auto"/>
        <w:rPr>
          <w:rFonts w:ascii="宋体" w:hAnsi="宋体" w:cs="宋体"/>
          <w:color w:val="000000"/>
          <w:szCs w:val="21"/>
        </w:rPr>
      </w:pPr>
      <w:r>
        <w:rPr>
          <w:rFonts w:hint="eastAsia" w:ascii="宋体" w:hAnsi="宋体" w:cs="宋体"/>
          <w:color w:val="000000"/>
          <w:szCs w:val="21"/>
        </w:rPr>
        <w:t>1.招标人根据评标工作小组的评标结果确定中标人，在重汽e采通平台公布中标结果，并发送中标通知。</w:t>
      </w:r>
    </w:p>
    <w:p w14:paraId="1108CB1B">
      <w:pPr>
        <w:spacing w:line="360" w:lineRule="auto"/>
        <w:rPr>
          <w:rFonts w:ascii="宋体" w:hAnsi="宋体" w:cs="宋体"/>
          <w:color w:val="000000"/>
          <w:szCs w:val="21"/>
        </w:rPr>
      </w:pPr>
      <w:r>
        <w:rPr>
          <w:rFonts w:hint="eastAsia" w:ascii="宋体" w:hAnsi="宋体" w:cs="宋体"/>
          <w:color w:val="000000"/>
          <w:szCs w:val="21"/>
        </w:rPr>
        <w:t>2.中标人应该在中标通知书规定的时间、地点与招标人签订采购合同，否则按照开标后撤回投标处理。</w:t>
      </w:r>
    </w:p>
    <w:p w14:paraId="0FE2DB3D">
      <w:pPr>
        <w:spacing w:line="360" w:lineRule="auto"/>
        <w:rPr>
          <w:rFonts w:ascii="宋体" w:hAnsi="宋体" w:cs="宋体"/>
          <w:color w:val="000000"/>
          <w:szCs w:val="21"/>
        </w:rPr>
      </w:pPr>
      <w:r>
        <w:rPr>
          <w:rFonts w:hint="eastAsia" w:ascii="宋体" w:hAnsi="宋体" w:cs="宋体"/>
          <w:color w:val="000000"/>
          <w:szCs w:val="21"/>
        </w:rPr>
        <w:t>3.中标人应当按照合同约定的履约责任，在保证质量的前提下完成中标项目，不得将中标项目转包或分包给他人，否则视为违约，招标人有权解除合同。</w:t>
      </w:r>
    </w:p>
    <w:p w14:paraId="23F3A61D">
      <w:pPr>
        <w:spacing w:line="360" w:lineRule="auto"/>
        <w:rPr>
          <w:rFonts w:ascii="宋体" w:hAnsi="宋体" w:cs="宋体"/>
          <w:color w:val="000000"/>
          <w:szCs w:val="21"/>
        </w:rPr>
      </w:pPr>
      <w:r>
        <w:rPr>
          <w:rFonts w:hint="eastAsia" w:ascii="宋体" w:hAnsi="宋体" w:cs="宋体"/>
          <w:color w:val="000000"/>
          <w:szCs w:val="21"/>
        </w:rPr>
        <w:t>4.中标人由于履行义务的能力或信用有严重缺陷，招标人有权取消其中标资格，招标人将从中标候选单位中依序重新确定中标人，或重新组织招标；</w:t>
      </w:r>
    </w:p>
    <w:p w14:paraId="6CCE4949">
      <w:pPr>
        <w:spacing w:line="360" w:lineRule="auto"/>
        <w:rPr>
          <w:rFonts w:hint="eastAsia" w:ascii="宋体" w:hAnsi="宋体" w:cs="宋体"/>
          <w:color w:val="000000"/>
          <w:szCs w:val="21"/>
        </w:rPr>
      </w:pPr>
      <w:r>
        <w:rPr>
          <w:rFonts w:hint="eastAsia" w:ascii="宋体" w:hAnsi="宋体" w:cs="宋体"/>
          <w:color w:val="000000"/>
          <w:szCs w:val="21"/>
        </w:rPr>
        <w:t>5</w:t>
      </w:r>
      <w:r>
        <w:rPr>
          <w:rFonts w:ascii="宋体" w:hAnsi="宋体" w:cs="宋体"/>
          <w:color w:val="000000"/>
          <w:szCs w:val="21"/>
        </w:rPr>
        <w:t>. 招标人有权指定招标人的关联单位作为合同签订人，与中标人签署相关合同，且具体权利义务以中标人与招标人的关联公司最终签署的合同为准</w:t>
      </w:r>
    </w:p>
    <w:p w14:paraId="17083F30">
      <w:pPr>
        <w:spacing w:line="360" w:lineRule="auto"/>
        <w:rPr>
          <w:rFonts w:ascii="宋体" w:hAnsi="宋体" w:cs="宋体"/>
          <w:color w:val="000000"/>
          <w:szCs w:val="21"/>
        </w:rPr>
      </w:pPr>
      <w:r>
        <w:rPr>
          <w:rFonts w:ascii="宋体" w:hAnsi="宋体" w:cs="宋体"/>
          <w:color w:val="000000"/>
          <w:szCs w:val="21"/>
        </w:rPr>
        <w:t>6</w:t>
      </w:r>
      <w:r>
        <w:rPr>
          <w:rFonts w:hint="eastAsia" w:ascii="宋体" w:hAnsi="宋体" w:cs="宋体"/>
          <w:color w:val="000000"/>
          <w:szCs w:val="21"/>
        </w:rPr>
        <w:t>.合同以双方最终签署的版本为准。</w:t>
      </w:r>
    </w:p>
    <w:p w14:paraId="33B9CA6E">
      <w:pPr>
        <w:pStyle w:val="73"/>
      </w:pPr>
      <w:r>
        <w:rPr>
          <w:rFonts w:hint="eastAsia"/>
        </w:rPr>
        <w:t>交货及付款</w:t>
      </w:r>
    </w:p>
    <w:p w14:paraId="019F88E3">
      <w:pPr>
        <w:pStyle w:val="73"/>
        <w:numPr>
          <w:ilvl w:val="0"/>
          <w:numId w:val="25"/>
        </w:numPr>
        <w:rPr>
          <w:rFonts w:ascii="宋体" w:hAnsi="宋体" w:eastAsia="宋体" w:cs="宋体"/>
          <w:b w:val="0"/>
          <w:bCs w:val="0"/>
          <w:sz w:val="21"/>
          <w:szCs w:val="21"/>
          <w:highlight w:val="yellow"/>
        </w:rPr>
      </w:pPr>
      <w:r>
        <w:rPr>
          <w:rFonts w:hint="eastAsia" w:ascii="宋体" w:hAnsi="宋体" w:eastAsia="宋体" w:cs="宋体"/>
          <w:b w:val="0"/>
          <w:bCs w:val="0"/>
          <w:sz w:val="21"/>
          <w:szCs w:val="21"/>
          <w:highlight w:val="yellow"/>
        </w:rPr>
        <w:t>交货期：交货期为合同签订后50个日历日。</w:t>
      </w:r>
    </w:p>
    <w:p w14:paraId="65FEEB81">
      <w:pPr>
        <w:pStyle w:val="73"/>
        <w:numPr>
          <w:ilvl w:val="0"/>
          <w:numId w:val="25"/>
        </w:numPr>
        <w:rPr>
          <w:rFonts w:ascii="宋体" w:hAnsi="宋体" w:eastAsia="宋体" w:cs="宋体"/>
          <w:b w:val="0"/>
          <w:bCs w:val="0"/>
          <w:sz w:val="21"/>
          <w:szCs w:val="21"/>
          <w:highlight w:val="yellow"/>
        </w:rPr>
      </w:pPr>
      <w:r>
        <w:rPr>
          <w:rFonts w:hint="eastAsia" w:ascii="宋体" w:hAnsi="宋体" w:eastAsia="宋体" w:cs="宋体"/>
          <w:b w:val="0"/>
          <w:bCs w:val="0"/>
          <w:sz w:val="21"/>
          <w:szCs w:val="21"/>
          <w:highlight w:val="yellow"/>
        </w:rPr>
        <w:t>交货地点：济南市高新区华奥路777号中国重汽未来科技大厦。</w:t>
      </w:r>
    </w:p>
    <w:p w14:paraId="034CE6B7">
      <w:pPr>
        <w:pStyle w:val="73"/>
        <w:numPr>
          <w:ilvl w:val="0"/>
          <w:numId w:val="25"/>
        </w:numPr>
        <w:rPr>
          <w:rFonts w:ascii="宋体" w:hAnsi="宋体" w:eastAsia="宋体" w:cs="宋体"/>
          <w:b w:val="0"/>
          <w:bCs w:val="0"/>
          <w:sz w:val="21"/>
          <w:szCs w:val="21"/>
          <w:highlight w:val="yellow"/>
        </w:rPr>
      </w:pPr>
      <w:r>
        <w:rPr>
          <w:rFonts w:hint="eastAsia" w:ascii="宋体" w:hAnsi="宋体" w:eastAsia="宋体" w:cs="宋体"/>
          <w:b w:val="0"/>
          <w:bCs w:val="0"/>
          <w:sz w:val="21"/>
          <w:szCs w:val="21"/>
          <w:highlight w:val="yellow"/>
        </w:rPr>
        <w:t>交货方式：完全交钥匙方式，即本次招标软件至少包括以下服务：安装、调试、服务、培训等</w:t>
      </w:r>
    </w:p>
    <w:p w14:paraId="08E908C7">
      <w:pPr>
        <w:pStyle w:val="73"/>
        <w:numPr>
          <w:ilvl w:val="0"/>
          <w:numId w:val="25"/>
        </w:numPr>
        <w:rPr>
          <w:rFonts w:ascii="宋体" w:hAnsi="宋体" w:eastAsia="宋体" w:cs="宋体"/>
          <w:b w:val="0"/>
          <w:bCs w:val="0"/>
          <w:sz w:val="21"/>
          <w:szCs w:val="21"/>
          <w:highlight w:val="yellow"/>
        </w:rPr>
      </w:pPr>
      <w:r>
        <w:rPr>
          <w:rFonts w:hint="eastAsia" w:ascii="宋体" w:hAnsi="宋体" w:eastAsia="宋体" w:cs="宋体"/>
          <w:b w:val="0"/>
          <w:bCs w:val="0"/>
          <w:sz w:val="21"/>
          <w:szCs w:val="21"/>
          <w:highlight w:val="yellow"/>
        </w:rPr>
        <w:t xml:space="preserve">付款方式：半年期商业汇票（包括银行承兑汇票和商业承兑汇票）； </w:t>
      </w:r>
    </w:p>
    <w:p w14:paraId="432F8BC1">
      <w:pPr>
        <w:pStyle w:val="73"/>
        <w:numPr>
          <w:ilvl w:val="0"/>
          <w:numId w:val="25"/>
        </w:numPr>
        <w:rPr>
          <w:rFonts w:ascii="宋体" w:hAnsi="宋体" w:eastAsia="宋体" w:cs="宋体"/>
          <w:b w:val="0"/>
          <w:bCs w:val="0"/>
          <w:sz w:val="21"/>
          <w:szCs w:val="21"/>
          <w:highlight w:val="yellow"/>
        </w:rPr>
      </w:pPr>
      <w:r>
        <w:rPr>
          <w:rFonts w:hint="eastAsia" w:ascii="宋体" w:hAnsi="宋体" w:eastAsia="宋体" w:cs="宋体"/>
          <w:b w:val="0"/>
          <w:bCs w:val="0"/>
          <w:sz w:val="21"/>
          <w:szCs w:val="21"/>
          <w:highlight w:val="yellow"/>
        </w:rPr>
        <w:t>付款节点：</w:t>
      </w:r>
    </w:p>
    <w:p w14:paraId="04DAC57F">
      <w:pPr>
        <w:pStyle w:val="63"/>
        <w:snapToGrid w:val="0"/>
        <w:spacing w:line="360" w:lineRule="auto"/>
        <w:ind w:firstLine="0" w:firstLineChars="0"/>
        <w:jc w:val="left"/>
        <w:rPr>
          <w:rFonts w:ascii="宋体" w:hAnsi="宋体" w:cs="宋体"/>
          <w:szCs w:val="21"/>
        </w:rPr>
      </w:pPr>
      <w:r>
        <w:rPr>
          <w:rFonts w:hint="eastAsia" w:ascii="宋体" w:hAnsi="宋体" w:cs="宋体"/>
          <w:szCs w:val="21"/>
          <w:highlight w:val="yellow"/>
        </w:rPr>
        <w:t>①100%：</w:t>
      </w:r>
      <w:r>
        <w:rPr>
          <w:rFonts w:hint="eastAsia" w:ascii="宋体" w:hAnsi="宋体" w:cs="宋体"/>
          <w:szCs w:val="21"/>
        </w:rPr>
        <w:t>乙方完成甲方的需求，乙方开具合同价款100%的收据并增值税专用发票，经甲方核对无误后支付。</w:t>
      </w:r>
    </w:p>
    <w:p w14:paraId="45688349">
      <w:pPr>
        <w:pStyle w:val="73"/>
      </w:pPr>
      <w:r>
        <w:rPr>
          <w:rFonts w:hint="eastAsia"/>
        </w:rPr>
        <w:t>本次招标最终解释权归中国重汽集团济南动力有限公司。</w:t>
      </w:r>
      <w:bookmarkStart w:id="11" w:name="_Toc47976607"/>
      <w:bookmarkStart w:id="44" w:name="_GoBack"/>
      <w:bookmarkEnd w:id="44"/>
    </w:p>
    <w:p w14:paraId="7241DB97">
      <w:pPr>
        <w:pStyle w:val="72"/>
      </w:pPr>
      <w:bookmarkStart w:id="12" w:name="_Toc1910"/>
      <w:r>
        <w:rPr>
          <w:rFonts w:hint="eastAsia"/>
        </w:rPr>
        <w:t>第二部分　</w:t>
      </w:r>
      <w:bookmarkEnd w:id="11"/>
      <w:r>
        <w:rPr>
          <w:rFonts w:hint="eastAsia"/>
        </w:rPr>
        <w:t>技术标书</w:t>
      </w:r>
      <w:bookmarkEnd w:id="12"/>
    </w:p>
    <w:p w14:paraId="1DF7622F">
      <w:pPr>
        <w:pStyle w:val="77"/>
        <w:rPr>
          <w:b/>
          <w:bCs/>
        </w:rPr>
      </w:pPr>
    </w:p>
    <w:p w14:paraId="241E53AC">
      <w:pPr>
        <w:pStyle w:val="123"/>
        <w:rPr>
          <w:rFonts w:ascii="黑体" w:hAnsi="黑体"/>
          <w:sz w:val="24"/>
        </w:rPr>
      </w:pPr>
      <w:r>
        <w:rPr>
          <w:rFonts w:hint="eastAsia" w:ascii="黑体" w:hAnsi="黑体"/>
          <w:sz w:val="24"/>
        </w:rPr>
        <w:t>第一章采购货物概况</w:t>
      </w:r>
    </w:p>
    <w:p w14:paraId="3556840E">
      <w:pPr>
        <w:pStyle w:val="123"/>
        <w:rPr>
          <w:rFonts w:ascii="黑体" w:hAnsi="黑体"/>
          <w:sz w:val="24"/>
        </w:rPr>
      </w:pPr>
    </w:p>
    <w:p w14:paraId="519B6FE0">
      <w:pPr>
        <w:pStyle w:val="121"/>
        <w:jc w:val="center"/>
        <w:rPr>
          <w:rFonts w:ascii="黑体" w:hAnsi="黑体"/>
          <w:sz w:val="24"/>
          <w:szCs w:val="24"/>
        </w:rPr>
      </w:pPr>
      <w:bookmarkStart w:id="13" w:name="_Toc465187639"/>
      <w:r>
        <w:rPr>
          <w:rFonts w:hint="eastAsia" w:ascii="黑体" w:hAnsi="黑体"/>
          <w:sz w:val="24"/>
          <w:szCs w:val="24"/>
        </w:rPr>
        <w:t>第一节使用环境</w:t>
      </w:r>
      <w:bookmarkEnd w:id="13"/>
    </w:p>
    <w:p w14:paraId="36AA4011">
      <w:pPr>
        <w:spacing w:line="600" w:lineRule="exact"/>
        <w:ind w:firstLine="455" w:firstLineChars="217"/>
        <w:rPr>
          <w:rFonts w:ascii="宋体" w:hAnsi="宋体"/>
          <w:color w:val="000000"/>
        </w:rPr>
      </w:pPr>
      <w:r>
        <w:rPr>
          <w:rFonts w:hint="eastAsia" w:ascii="黑体" w:hAnsi="黑体" w:eastAsia="黑体"/>
          <w:color w:val="000000"/>
        </w:rPr>
        <w:t>一、项目名称</w:t>
      </w:r>
      <w:r>
        <w:rPr>
          <w:rFonts w:hint="eastAsia" w:ascii="宋体" w:hAnsi="宋体"/>
          <w:color w:val="000000"/>
        </w:rPr>
        <w:t>：</w:t>
      </w:r>
      <w:r>
        <w:rPr>
          <w:rFonts w:hint="eastAsia" w:ascii="宋体" w:hAnsi="宋体"/>
          <w:color w:val="000000"/>
          <w:u w:val="single"/>
          <w:shd w:val="pct10" w:color="auto" w:fill="FFFFFF"/>
        </w:rPr>
        <w:t>E</w:t>
      </w:r>
      <w:r>
        <w:rPr>
          <w:rFonts w:ascii="宋体" w:hAnsi="宋体"/>
          <w:color w:val="000000"/>
          <w:u w:val="single"/>
          <w:shd w:val="pct10" w:color="auto" w:fill="FFFFFF"/>
        </w:rPr>
        <w:t>3.</w:t>
      </w:r>
      <w:r>
        <w:rPr>
          <w:rFonts w:hint="eastAsia" w:ascii="宋体" w:hAnsi="宋体"/>
          <w:color w:val="000000"/>
          <w:u w:val="single"/>
          <w:shd w:val="pct10" w:color="auto" w:fill="FFFFFF"/>
        </w:rPr>
        <w:t>Series软件增购项目</w:t>
      </w:r>
    </w:p>
    <w:p w14:paraId="3AA92441">
      <w:pPr>
        <w:spacing w:line="420" w:lineRule="exact"/>
        <w:ind w:firstLine="420" w:firstLineChars="200"/>
        <w:rPr>
          <w:rFonts w:ascii="宋体" w:hAnsi="宋体"/>
          <w:color w:val="000000"/>
        </w:rPr>
      </w:pPr>
      <w:r>
        <w:rPr>
          <w:rFonts w:hint="eastAsia" w:ascii="黑体" w:hAnsi="黑体" w:eastAsia="黑体"/>
          <w:color w:val="000000"/>
        </w:rPr>
        <w:t>二、建设地点</w:t>
      </w:r>
      <w:r>
        <w:rPr>
          <w:rFonts w:hint="eastAsia" w:ascii="宋体" w:hAnsi="宋体"/>
          <w:color w:val="000000"/>
        </w:rPr>
        <w:t>：</w:t>
      </w:r>
      <w:r>
        <w:rPr>
          <w:rFonts w:hint="eastAsia" w:ascii="黑体" w:hAnsi="宋体" w:eastAsia="黑体"/>
          <w:color w:val="000000"/>
          <w:u w:val="single"/>
          <w:shd w:val="pct10" w:color="auto" w:fill="FFFFFF"/>
        </w:rPr>
        <w:t>中国重汽集团济南动力有限公司（单位）</w:t>
      </w:r>
    </w:p>
    <w:p w14:paraId="047454C9">
      <w:pPr>
        <w:spacing w:line="420" w:lineRule="exact"/>
        <w:ind w:firstLine="420" w:firstLineChars="200"/>
        <w:rPr>
          <w:rFonts w:ascii="宋体" w:hAnsi="宋体"/>
          <w:color w:val="000000"/>
        </w:rPr>
      </w:pPr>
      <w:r>
        <w:rPr>
          <w:rFonts w:hint="eastAsia" w:ascii="黑体" w:hAnsi="黑体" w:eastAsia="黑体"/>
          <w:color w:val="000000"/>
        </w:rPr>
        <w:t>三、存放地点</w:t>
      </w:r>
      <w:r>
        <w:rPr>
          <w:rFonts w:hint="eastAsia" w:ascii="宋体" w:hAnsi="宋体"/>
          <w:color w:val="000000"/>
        </w:rPr>
        <w:t>：</w:t>
      </w:r>
      <w:r>
        <w:rPr>
          <w:rFonts w:hint="eastAsia" w:ascii="宋体" w:hAnsi="宋体"/>
          <w:color w:val="000000"/>
          <w:u w:val="single"/>
          <w:shd w:val="pct10" w:color="auto" w:fill="FFFFFF"/>
        </w:rPr>
        <w:t>济南市高新区华奥路777号（室内）</w:t>
      </w:r>
    </w:p>
    <w:p w14:paraId="1422AE7D">
      <w:pPr>
        <w:spacing w:line="420" w:lineRule="exact"/>
        <w:ind w:firstLine="420" w:firstLineChars="200"/>
        <w:rPr>
          <w:rFonts w:ascii="宋体" w:hAnsi="宋体"/>
          <w:color w:val="000000"/>
        </w:rPr>
      </w:pPr>
      <w:r>
        <w:rPr>
          <w:rFonts w:hint="eastAsia" w:ascii="黑体" w:hAnsi="黑体" w:eastAsia="黑体"/>
          <w:color w:val="000000"/>
        </w:rPr>
        <w:t>四</w:t>
      </w:r>
      <w:r>
        <w:rPr>
          <w:rFonts w:hint="eastAsia" w:ascii="宋体" w:hAnsi="宋体"/>
          <w:color w:val="000000"/>
        </w:rPr>
        <w:t>、</w:t>
      </w:r>
      <w:r>
        <w:rPr>
          <w:rFonts w:hint="eastAsia" w:ascii="黑体" w:hAnsi="黑体" w:eastAsia="黑体"/>
          <w:color w:val="000000"/>
        </w:rPr>
        <w:t>使用地点区域自然环境</w:t>
      </w:r>
      <w:r>
        <w:rPr>
          <w:rFonts w:hint="eastAsia" w:ascii="宋体" w:hAnsi="宋体"/>
          <w:color w:val="000000"/>
        </w:rPr>
        <w:t>：</w:t>
      </w:r>
    </w:p>
    <w:p w14:paraId="395474B9">
      <w:pPr>
        <w:spacing w:line="420" w:lineRule="exact"/>
        <w:ind w:left="2047" w:leftChars="200" w:hanging="1627" w:hangingChars="775"/>
        <w:rPr>
          <w:rFonts w:ascii="宋体" w:hAnsi="宋体"/>
          <w:szCs w:val="21"/>
        </w:rPr>
      </w:pPr>
      <w:r>
        <w:rPr>
          <w:rFonts w:hint="eastAsia" w:ascii="宋体" w:hAnsi="宋体"/>
          <w:color w:val="000000"/>
        </w:rPr>
        <w:t>1、工作环境温度：</w:t>
      </w:r>
      <w:r>
        <w:rPr>
          <w:rFonts w:hint="eastAsia" w:ascii="宋体" w:hAnsi="宋体"/>
          <w:szCs w:val="21"/>
        </w:rPr>
        <w:t>-20～</w:t>
      </w:r>
      <w:r>
        <w:rPr>
          <w:rFonts w:ascii="宋体" w:hAnsi="宋体"/>
          <w:szCs w:val="21"/>
        </w:rPr>
        <w:t>65</w:t>
      </w:r>
      <w:r>
        <w:rPr>
          <w:rFonts w:hint="eastAsia" w:ascii="宋体" w:hAnsi="宋体"/>
          <w:szCs w:val="21"/>
        </w:rPr>
        <w:t>℃；</w:t>
      </w:r>
    </w:p>
    <w:p w14:paraId="030FD8BC">
      <w:pPr>
        <w:spacing w:line="420" w:lineRule="exact"/>
        <w:ind w:left="2047" w:leftChars="200" w:hanging="1627" w:hangingChars="775"/>
        <w:rPr>
          <w:rFonts w:ascii="宋体" w:hAnsi="宋体"/>
          <w:color w:val="000000"/>
        </w:rPr>
      </w:pPr>
      <w:r>
        <w:rPr>
          <w:rFonts w:hint="eastAsia" w:ascii="宋体" w:hAnsi="宋体"/>
          <w:color w:val="000000"/>
        </w:rPr>
        <w:t>2、相对湿度：10</w:t>
      </w:r>
      <w:r>
        <w:rPr>
          <w:rFonts w:hint="eastAsia" w:ascii="宋体" w:hAnsi="宋体"/>
          <w:szCs w:val="21"/>
        </w:rPr>
        <w:t>～90</w:t>
      </w:r>
      <w:r>
        <w:rPr>
          <w:rFonts w:hint="eastAsia" w:ascii="宋体" w:hAnsi="宋体"/>
          <w:color w:val="000000"/>
        </w:rPr>
        <w:t>%</w:t>
      </w:r>
    </w:p>
    <w:p w14:paraId="12FD1AA7">
      <w:pPr>
        <w:spacing w:line="420" w:lineRule="exact"/>
        <w:ind w:firstLine="420" w:firstLineChars="200"/>
        <w:rPr>
          <w:rFonts w:ascii="宋体" w:hAnsi="宋体"/>
          <w:color w:val="000000"/>
        </w:rPr>
      </w:pPr>
    </w:p>
    <w:p w14:paraId="5FC096AD">
      <w:pPr>
        <w:pStyle w:val="121"/>
        <w:jc w:val="center"/>
        <w:rPr>
          <w:rFonts w:ascii="黑体" w:hAnsi="黑体"/>
          <w:sz w:val="24"/>
          <w:szCs w:val="24"/>
        </w:rPr>
      </w:pPr>
      <w:bookmarkStart w:id="14" w:name="_Toc465187640"/>
      <w:r>
        <w:rPr>
          <w:rFonts w:hint="eastAsia" w:ascii="黑体" w:hAnsi="黑体"/>
          <w:sz w:val="24"/>
          <w:szCs w:val="24"/>
        </w:rPr>
        <w:t>第二节采购货物概况</w:t>
      </w:r>
      <w:bookmarkEnd w:id="14"/>
    </w:p>
    <w:p w14:paraId="00DC9504">
      <w:pPr>
        <w:spacing w:line="420" w:lineRule="exact"/>
        <w:ind w:firstLine="422" w:firstLineChars="200"/>
        <w:rPr>
          <w:rFonts w:ascii="黑体" w:hAnsi="黑体" w:eastAsia="黑体"/>
          <w:color w:val="000000"/>
        </w:rPr>
      </w:pPr>
      <w:r>
        <w:rPr>
          <w:rFonts w:hint="eastAsia" w:ascii="宋体" w:hAnsi="宋体"/>
          <w:b/>
          <w:color w:val="000000"/>
        </w:rPr>
        <w:t>一、</w:t>
      </w:r>
      <w:r>
        <w:rPr>
          <w:rFonts w:hint="eastAsia" w:ascii="黑体" w:hAnsi="黑体" w:eastAsia="黑体"/>
          <w:color w:val="000000"/>
        </w:rPr>
        <w:t>货物名称</w:t>
      </w:r>
      <w:r>
        <w:rPr>
          <w:rFonts w:hint="eastAsia" w:ascii="宋体" w:hAnsi="宋体"/>
          <w:b/>
          <w:color w:val="000000"/>
        </w:rPr>
        <w:t>：</w:t>
      </w:r>
      <w:r>
        <w:rPr>
          <w:rFonts w:hint="eastAsia" w:ascii="黑体" w:hAnsi="黑体" w:eastAsia="黑体"/>
          <w:color w:val="000000"/>
        </w:rPr>
        <w:t>汽车研究总院三维布线软件（详见下表）</w:t>
      </w:r>
    </w:p>
    <w:p w14:paraId="1EC63B24">
      <w:pPr>
        <w:spacing w:line="420" w:lineRule="exact"/>
        <w:ind w:firstLine="420" w:firstLineChars="200"/>
        <w:rPr>
          <w:rFonts w:ascii="黑体" w:hAnsi="黑体" w:eastAsia="黑体"/>
          <w:color w:val="000000"/>
        </w:rPr>
      </w:pPr>
      <w:r>
        <w:rPr>
          <w:rFonts w:hint="eastAsia" w:ascii="黑体" w:hAnsi="黑体" w:eastAsia="黑体"/>
          <w:color w:val="000000"/>
        </w:rPr>
        <w:t>二、货物数量：7套</w:t>
      </w:r>
    </w:p>
    <w:p w14:paraId="5C06E8B7">
      <w:pPr>
        <w:spacing w:line="420" w:lineRule="exact"/>
        <w:ind w:firstLine="420" w:firstLineChars="200"/>
        <w:rPr>
          <w:rFonts w:ascii="黑体" w:hAnsi="黑体" w:eastAsia="黑体"/>
          <w:color w:val="000000"/>
        </w:rPr>
      </w:pPr>
      <w:r>
        <w:rPr>
          <w:rFonts w:hint="eastAsia" w:ascii="黑体" w:hAnsi="黑体" w:eastAsia="黑体"/>
          <w:color w:val="000000"/>
        </w:rPr>
        <w:t>三、分投分中：不允许</w:t>
      </w:r>
    </w:p>
    <w:p w14:paraId="6A2E08A3">
      <w:pPr>
        <w:spacing w:line="420" w:lineRule="exact"/>
        <w:jc w:val="center"/>
        <w:rPr>
          <w:rFonts w:ascii="宋体" w:hAnsi="宋体"/>
          <w:color w:val="000000"/>
        </w:rPr>
      </w:pPr>
      <w:r>
        <w:rPr>
          <w:rFonts w:hint="eastAsia" w:ascii="宋体" w:hAnsi="宋体"/>
          <w:color w:val="000000"/>
        </w:rPr>
        <w:t>采购货物主要构成一览表</w:t>
      </w:r>
    </w:p>
    <w:tbl>
      <w:tblPr>
        <w:tblStyle w:val="31"/>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1850"/>
        <w:gridCol w:w="3119"/>
        <w:gridCol w:w="708"/>
        <w:gridCol w:w="709"/>
        <w:gridCol w:w="2232"/>
      </w:tblGrid>
      <w:tr w14:paraId="06A4F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dxa"/>
            <w:vAlign w:val="center"/>
          </w:tcPr>
          <w:p w14:paraId="00AD2ACB">
            <w:pPr>
              <w:spacing w:line="360" w:lineRule="exact"/>
              <w:jc w:val="center"/>
              <w:rPr>
                <w:rFonts w:ascii="宋体" w:hAnsi="宋体"/>
                <w:color w:val="000000"/>
              </w:rPr>
            </w:pPr>
            <w:r>
              <w:rPr>
                <w:rFonts w:hint="eastAsia" w:ascii="宋体" w:hAnsi="宋体"/>
                <w:color w:val="000000"/>
              </w:rPr>
              <w:t>序号</w:t>
            </w:r>
          </w:p>
        </w:tc>
        <w:tc>
          <w:tcPr>
            <w:tcW w:w="1850" w:type="dxa"/>
            <w:vAlign w:val="center"/>
          </w:tcPr>
          <w:p w14:paraId="39D29668">
            <w:pPr>
              <w:spacing w:line="360" w:lineRule="exact"/>
              <w:jc w:val="center"/>
              <w:rPr>
                <w:rFonts w:ascii="宋体" w:hAnsi="宋体"/>
                <w:color w:val="000000"/>
              </w:rPr>
            </w:pPr>
            <w:r>
              <w:rPr>
                <w:rFonts w:hint="eastAsia" w:ascii="宋体" w:hAnsi="宋体"/>
                <w:color w:val="000000"/>
              </w:rPr>
              <w:t>名称</w:t>
            </w:r>
          </w:p>
        </w:tc>
        <w:tc>
          <w:tcPr>
            <w:tcW w:w="3119" w:type="dxa"/>
            <w:vAlign w:val="center"/>
          </w:tcPr>
          <w:p w14:paraId="0BD5661E">
            <w:pPr>
              <w:spacing w:line="360" w:lineRule="exact"/>
              <w:jc w:val="center"/>
              <w:rPr>
                <w:rFonts w:ascii="宋体" w:hAnsi="宋体"/>
                <w:color w:val="000000"/>
              </w:rPr>
            </w:pPr>
            <w:r>
              <w:rPr>
                <w:rFonts w:hint="eastAsia" w:ascii="宋体" w:hAnsi="宋体"/>
                <w:color w:val="000000"/>
              </w:rPr>
              <w:t>规格</w:t>
            </w:r>
          </w:p>
        </w:tc>
        <w:tc>
          <w:tcPr>
            <w:tcW w:w="708" w:type="dxa"/>
            <w:vAlign w:val="center"/>
          </w:tcPr>
          <w:p w14:paraId="0C727856">
            <w:pPr>
              <w:spacing w:line="360" w:lineRule="exact"/>
              <w:jc w:val="center"/>
              <w:rPr>
                <w:rFonts w:ascii="宋体" w:hAnsi="宋体"/>
                <w:color w:val="000000"/>
              </w:rPr>
            </w:pPr>
            <w:r>
              <w:rPr>
                <w:rFonts w:hint="eastAsia" w:ascii="宋体" w:hAnsi="宋体"/>
                <w:color w:val="000000"/>
              </w:rPr>
              <w:t>单位</w:t>
            </w:r>
          </w:p>
        </w:tc>
        <w:tc>
          <w:tcPr>
            <w:tcW w:w="709" w:type="dxa"/>
            <w:vAlign w:val="center"/>
          </w:tcPr>
          <w:p w14:paraId="3E86B3CD">
            <w:pPr>
              <w:spacing w:line="360" w:lineRule="exact"/>
              <w:jc w:val="center"/>
              <w:rPr>
                <w:rFonts w:ascii="宋体" w:hAnsi="宋体"/>
                <w:color w:val="000000"/>
              </w:rPr>
            </w:pPr>
            <w:r>
              <w:rPr>
                <w:rFonts w:hint="eastAsia" w:ascii="宋体" w:hAnsi="宋体"/>
                <w:color w:val="000000"/>
              </w:rPr>
              <w:t>数量</w:t>
            </w:r>
          </w:p>
        </w:tc>
        <w:tc>
          <w:tcPr>
            <w:tcW w:w="2232" w:type="dxa"/>
            <w:vAlign w:val="center"/>
          </w:tcPr>
          <w:p w14:paraId="2DD6E66F">
            <w:pPr>
              <w:spacing w:line="360" w:lineRule="exact"/>
              <w:jc w:val="center"/>
              <w:rPr>
                <w:rFonts w:ascii="宋体" w:hAnsi="宋体"/>
                <w:color w:val="000000"/>
              </w:rPr>
            </w:pPr>
            <w:r>
              <w:rPr>
                <w:rFonts w:hint="eastAsia" w:ascii="宋体" w:hAnsi="宋体"/>
                <w:color w:val="000000"/>
              </w:rPr>
              <w:t>安装地点/服务对象</w:t>
            </w:r>
          </w:p>
        </w:tc>
      </w:tr>
      <w:tr w14:paraId="0A3E8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dxa"/>
            <w:vAlign w:val="center"/>
          </w:tcPr>
          <w:p w14:paraId="59936B6F">
            <w:pPr>
              <w:spacing w:line="360" w:lineRule="exact"/>
              <w:jc w:val="center"/>
              <w:rPr>
                <w:rFonts w:ascii="宋体" w:hAnsi="宋体"/>
                <w:color w:val="000000"/>
              </w:rPr>
            </w:pPr>
            <w:r>
              <w:rPr>
                <w:rFonts w:hint="eastAsia" w:ascii="宋体" w:hAnsi="宋体"/>
                <w:color w:val="000000"/>
              </w:rPr>
              <w:t>1</w:t>
            </w:r>
          </w:p>
        </w:tc>
        <w:tc>
          <w:tcPr>
            <w:tcW w:w="1850" w:type="dxa"/>
            <w:vAlign w:val="center"/>
          </w:tcPr>
          <w:p w14:paraId="545AC8F2">
            <w:pPr>
              <w:spacing w:line="360" w:lineRule="exact"/>
              <w:jc w:val="center"/>
              <w:rPr>
                <w:rFonts w:ascii="宋体" w:hAnsi="宋体"/>
                <w:color w:val="000000"/>
              </w:rPr>
            </w:pPr>
            <w:r>
              <w:rPr>
                <w:rFonts w:hint="eastAsia" w:ascii="宋体" w:hAnsi="宋体"/>
                <w:color w:val="000000"/>
              </w:rPr>
              <w:t>原理图</w:t>
            </w:r>
          </w:p>
        </w:tc>
        <w:tc>
          <w:tcPr>
            <w:tcW w:w="3119" w:type="dxa"/>
            <w:vAlign w:val="center"/>
          </w:tcPr>
          <w:p w14:paraId="2C2E5D4B">
            <w:pPr>
              <w:spacing w:line="360" w:lineRule="exact"/>
              <w:jc w:val="left"/>
              <w:rPr>
                <w:rFonts w:ascii="宋体" w:hAnsi="宋体"/>
                <w:color w:val="000000"/>
                <w:sz w:val="15"/>
                <w:szCs w:val="15"/>
              </w:rPr>
            </w:pPr>
            <w:r>
              <w:rPr>
                <w:rFonts w:hint="eastAsia" w:ascii="宋体" w:hAnsi="宋体"/>
                <w:color w:val="000000"/>
                <w:sz w:val="15"/>
                <w:szCs w:val="15"/>
              </w:rPr>
              <w:t>1.基础License,决定并发用户数量</w:t>
            </w:r>
          </w:p>
          <w:p w14:paraId="12C2932D">
            <w:pPr>
              <w:spacing w:line="360" w:lineRule="exact"/>
              <w:jc w:val="left"/>
              <w:rPr>
                <w:rFonts w:ascii="宋体" w:hAnsi="宋体"/>
                <w:color w:val="000000"/>
                <w:sz w:val="15"/>
                <w:szCs w:val="15"/>
              </w:rPr>
            </w:pPr>
            <w:r>
              <w:rPr>
                <w:rFonts w:hint="eastAsia" w:ascii="宋体" w:hAnsi="宋体"/>
                <w:color w:val="000000"/>
                <w:sz w:val="15"/>
                <w:szCs w:val="15"/>
              </w:rPr>
              <w:t>2.网络浮动授权，2019版</w:t>
            </w:r>
          </w:p>
          <w:p w14:paraId="4A7AA00D">
            <w:pPr>
              <w:spacing w:line="360" w:lineRule="exact"/>
              <w:jc w:val="left"/>
              <w:rPr>
                <w:rFonts w:ascii="宋体" w:hAnsi="宋体"/>
                <w:color w:val="000000"/>
                <w:sz w:val="15"/>
                <w:szCs w:val="15"/>
              </w:rPr>
            </w:pPr>
            <w:r>
              <w:rPr>
                <w:rFonts w:hint="eastAsia" w:ascii="宋体" w:hAnsi="宋体"/>
                <w:color w:val="000000"/>
                <w:sz w:val="15"/>
                <w:szCs w:val="15"/>
              </w:rPr>
              <w:t>3.</w:t>
            </w:r>
            <w:r>
              <w:rPr>
                <w:rFonts w:hint="eastAsia" w:ascii="宋体" w:hAnsi="宋体"/>
              </w:rPr>
              <w:t xml:space="preserve"> </w:t>
            </w:r>
            <w:r>
              <w:rPr>
                <w:rFonts w:hint="eastAsia" w:ascii="宋体" w:hAnsi="宋体"/>
                <w:color w:val="000000"/>
                <w:sz w:val="15"/>
                <w:szCs w:val="15"/>
              </w:rPr>
              <w:t>电气接线设计</w:t>
            </w:r>
          </w:p>
          <w:p w14:paraId="075D92D1">
            <w:pPr>
              <w:spacing w:line="360" w:lineRule="exact"/>
              <w:jc w:val="left"/>
              <w:rPr>
                <w:rFonts w:ascii="宋体" w:hAnsi="宋体"/>
                <w:color w:val="000000"/>
                <w:sz w:val="15"/>
                <w:szCs w:val="15"/>
              </w:rPr>
            </w:pPr>
            <w:r>
              <w:rPr>
                <w:rFonts w:hint="eastAsia" w:ascii="宋体" w:hAnsi="宋体"/>
                <w:color w:val="000000"/>
                <w:sz w:val="15"/>
                <w:szCs w:val="15"/>
              </w:rPr>
              <w:t>4.</w:t>
            </w:r>
            <w:r>
              <w:rPr>
                <w:rFonts w:hint="eastAsia" w:ascii="宋体" w:hAnsi="宋体"/>
              </w:rPr>
              <w:t xml:space="preserve"> </w:t>
            </w:r>
            <w:r>
              <w:rPr>
                <w:rFonts w:hint="eastAsia" w:ascii="宋体" w:hAnsi="宋体"/>
                <w:color w:val="000000"/>
                <w:sz w:val="15"/>
                <w:szCs w:val="15"/>
              </w:rPr>
              <w:t>数据关联导航</w:t>
            </w:r>
            <w:r>
              <w:rPr>
                <w:rFonts w:ascii="宋体" w:hAnsi="宋体"/>
                <w:color w:val="000000"/>
                <w:sz w:val="15"/>
                <w:szCs w:val="15"/>
              </w:rPr>
              <w:t>/信号关联提示</w:t>
            </w:r>
          </w:p>
          <w:p w14:paraId="591C5479">
            <w:pPr>
              <w:spacing w:line="360" w:lineRule="exact"/>
              <w:jc w:val="left"/>
              <w:rPr>
                <w:rFonts w:ascii="宋体" w:hAnsi="宋体"/>
                <w:color w:val="000000"/>
                <w:sz w:val="15"/>
                <w:szCs w:val="15"/>
              </w:rPr>
            </w:pPr>
            <w:r>
              <w:rPr>
                <w:rFonts w:hint="eastAsia" w:ascii="宋体" w:hAnsi="宋体"/>
                <w:color w:val="000000"/>
                <w:sz w:val="15"/>
                <w:szCs w:val="15"/>
              </w:rPr>
              <w:t>5.</w:t>
            </w:r>
            <w:r>
              <w:rPr>
                <w:rFonts w:hint="eastAsia" w:ascii="宋体" w:hAnsi="宋体"/>
              </w:rPr>
              <w:t xml:space="preserve"> </w:t>
            </w:r>
            <w:r>
              <w:rPr>
                <w:rFonts w:hint="eastAsia" w:ascii="宋体" w:hAnsi="宋体"/>
                <w:color w:val="000000"/>
                <w:sz w:val="15"/>
                <w:szCs w:val="15"/>
              </w:rPr>
              <w:t>表格化数据浏览和编辑</w:t>
            </w:r>
          </w:p>
          <w:p w14:paraId="4DD748EA">
            <w:pPr>
              <w:spacing w:line="360" w:lineRule="exact"/>
              <w:jc w:val="left"/>
              <w:rPr>
                <w:rFonts w:ascii="宋体" w:hAnsi="宋体"/>
                <w:color w:val="000000"/>
                <w:sz w:val="15"/>
                <w:szCs w:val="15"/>
              </w:rPr>
            </w:pPr>
            <w:r>
              <w:rPr>
                <w:rFonts w:hint="eastAsia" w:ascii="宋体" w:hAnsi="宋体"/>
                <w:color w:val="000000"/>
                <w:sz w:val="15"/>
                <w:szCs w:val="15"/>
              </w:rPr>
              <w:t>6.</w:t>
            </w:r>
            <w:r>
              <w:rPr>
                <w:rFonts w:hint="eastAsia" w:ascii="宋体" w:hAnsi="宋体"/>
              </w:rPr>
              <w:t xml:space="preserve"> </w:t>
            </w:r>
            <w:r>
              <w:rPr>
                <w:rFonts w:hint="eastAsia" w:ascii="宋体" w:hAnsi="宋体"/>
                <w:color w:val="000000"/>
                <w:sz w:val="15"/>
                <w:szCs w:val="15"/>
              </w:rPr>
              <w:t>自动匹配连接器</w:t>
            </w:r>
          </w:p>
          <w:p w14:paraId="61968A0B">
            <w:pPr>
              <w:spacing w:line="360" w:lineRule="exact"/>
              <w:jc w:val="left"/>
              <w:rPr>
                <w:rFonts w:ascii="宋体" w:hAnsi="宋体"/>
                <w:color w:val="000000"/>
                <w:sz w:val="15"/>
                <w:szCs w:val="15"/>
              </w:rPr>
            </w:pPr>
            <w:r>
              <w:rPr>
                <w:rFonts w:hint="eastAsia" w:ascii="宋体" w:hAnsi="宋体"/>
                <w:color w:val="000000"/>
                <w:sz w:val="15"/>
                <w:szCs w:val="15"/>
              </w:rPr>
              <w:t>7.</w:t>
            </w:r>
            <w:r>
              <w:rPr>
                <w:rFonts w:hint="eastAsia" w:ascii="宋体" w:hAnsi="宋体"/>
              </w:rPr>
              <w:t xml:space="preserve"> </w:t>
            </w:r>
            <w:r>
              <w:rPr>
                <w:rFonts w:hint="eastAsia" w:ascii="宋体" w:hAnsi="宋体"/>
                <w:color w:val="000000"/>
                <w:sz w:val="15"/>
                <w:szCs w:val="15"/>
              </w:rPr>
              <w:t>屏蔽、双绞、接地处理</w:t>
            </w:r>
          </w:p>
          <w:p w14:paraId="190944F9">
            <w:pPr>
              <w:spacing w:line="360" w:lineRule="exact"/>
              <w:jc w:val="left"/>
              <w:rPr>
                <w:rFonts w:ascii="宋体" w:hAnsi="宋体"/>
                <w:color w:val="000000"/>
                <w:sz w:val="15"/>
                <w:szCs w:val="15"/>
              </w:rPr>
            </w:pPr>
            <w:r>
              <w:rPr>
                <w:rFonts w:hint="eastAsia" w:ascii="宋体" w:hAnsi="宋体"/>
                <w:color w:val="000000"/>
                <w:sz w:val="15"/>
                <w:szCs w:val="15"/>
              </w:rPr>
              <w:t>8.</w:t>
            </w:r>
            <w:r>
              <w:rPr>
                <w:rFonts w:hint="eastAsia" w:ascii="宋体" w:hAnsi="宋体"/>
              </w:rPr>
              <w:t xml:space="preserve"> </w:t>
            </w:r>
            <w:r>
              <w:rPr>
                <w:rFonts w:hint="eastAsia" w:ascii="宋体" w:hAnsi="宋体"/>
                <w:color w:val="000000"/>
                <w:sz w:val="15"/>
                <w:szCs w:val="15"/>
              </w:rPr>
              <w:t>数据库权限管理、多用户协同设计</w:t>
            </w:r>
          </w:p>
        </w:tc>
        <w:tc>
          <w:tcPr>
            <w:tcW w:w="708" w:type="dxa"/>
            <w:vAlign w:val="center"/>
          </w:tcPr>
          <w:p w14:paraId="42F79B9D">
            <w:pPr>
              <w:spacing w:line="360" w:lineRule="exact"/>
              <w:jc w:val="center"/>
              <w:rPr>
                <w:rFonts w:ascii="宋体" w:hAnsi="宋体"/>
                <w:color w:val="000000"/>
              </w:rPr>
            </w:pPr>
            <w:r>
              <w:rPr>
                <w:rFonts w:hint="eastAsia" w:ascii="宋体" w:hAnsi="宋体"/>
                <w:color w:val="000000"/>
              </w:rPr>
              <w:t>套</w:t>
            </w:r>
          </w:p>
        </w:tc>
        <w:tc>
          <w:tcPr>
            <w:tcW w:w="709" w:type="dxa"/>
            <w:vAlign w:val="center"/>
          </w:tcPr>
          <w:p w14:paraId="6B3420F2">
            <w:pPr>
              <w:spacing w:line="360" w:lineRule="exact"/>
              <w:jc w:val="center"/>
              <w:rPr>
                <w:rFonts w:ascii="宋体" w:hAnsi="宋体"/>
                <w:color w:val="000000"/>
              </w:rPr>
            </w:pPr>
            <w:r>
              <w:rPr>
                <w:rFonts w:ascii="宋体" w:hAnsi="宋体"/>
                <w:color w:val="000000"/>
              </w:rPr>
              <w:t>9</w:t>
            </w:r>
          </w:p>
        </w:tc>
        <w:tc>
          <w:tcPr>
            <w:tcW w:w="2232" w:type="dxa"/>
            <w:vAlign w:val="center"/>
          </w:tcPr>
          <w:p w14:paraId="1F31463C">
            <w:pPr>
              <w:spacing w:line="360" w:lineRule="exact"/>
              <w:jc w:val="center"/>
              <w:rPr>
                <w:rFonts w:ascii="宋体" w:hAnsi="宋体"/>
                <w:color w:val="000000"/>
                <w:sz w:val="15"/>
                <w:szCs w:val="15"/>
              </w:rPr>
            </w:pPr>
            <w:r>
              <w:rPr>
                <w:rFonts w:hint="eastAsia" w:ascii="宋体" w:hAnsi="宋体"/>
                <w:color w:val="000000"/>
                <w:sz w:val="15"/>
                <w:szCs w:val="15"/>
              </w:rPr>
              <w:t>济南/中国重汽集团济南动力有限公司汽研总院</w:t>
            </w:r>
          </w:p>
        </w:tc>
      </w:tr>
      <w:tr w14:paraId="6C013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dxa"/>
            <w:vAlign w:val="center"/>
          </w:tcPr>
          <w:p w14:paraId="4C4FB676">
            <w:pPr>
              <w:spacing w:line="360" w:lineRule="exact"/>
              <w:jc w:val="center"/>
              <w:rPr>
                <w:rFonts w:ascii="宋体" w:hAnsi="宋体"/>
                <w:color w:val="000000"/>
              </w:rPr>
            </w:pPr>
            <w:r>
              <w:rPr>
                <w:rFonts w:hint="eastAsia" w:ascii="宋体" w:hAnsi="宋体"/>
                <w:color w:val="000000"/>
              </w:rPr>
              <w:t>2</w:t>
            </w:r>
          </w:p>
        </w:tc>
        <w:tc>
          <w:tcPr>
            <w:tcW w:w="1850" w:type="dxa"/>
            <w:vAlign w:val="center"/>
          </w:tcPr>
          <w:p w14:paraId="13FD85A4">
            <w:pPr>
              <w:spacing w:line="360" w:lineRule="exact"/>
              <w:jc w:val="center"/>
              <w:rPr>
                <w:rFonts w:ascii="宋体" w:hAnsi="宋体"/>
                <w:color w:val="000000"/>
              </w:rPr>
            </w:pPr>
            <w:r>
              <w:rPr>
                <w:rFonts w:hint="eastAsia" w:ascii="宋体" w:hAnsi="宋体"/>
                <w:color w:val="000000"/>
              </w:rPr>
              <w:t>钉板图模块</w:t>
            </w:r>
          </w:p>
        </w:tc>
        <w:tc>
          <w:tcPr>
            <w:tcW w:w="3119" w:type="dxa"/>
            <w:vAlign w:val="center"/>
          </w:tcPr>
          <w:p w14:paraId="1A991D01">
            <w:pPr>
              <w:spacing w:line="360" w:lineRule="exact"/>
              <w:jc w:val="left"/>
              <w:rPr>
                <w:rFonts w:ascii="宋体" w:hAnsi="宋体"/>
                <w:color w:val="000000"/>
                <w:sz w:val="15"/>
                <w:szCs w:val="15"/>
              </w:rPr>
            </w:pPr>
            <w:r>
              <w:rPr>
                <w:rFonts w:hint="eastAsia" w:ascii="宋体" w:hAnsi="宋体"/>
                <w:color w:val="000000"/>
                <w:sz w:val="15"/>
                <w:szCs w:val="15"/>
              </w:rPr>
              <w:t>1. 网络浮动授权，2019版</w:t>
            </w:r>
          </w:p>
          <w:p w14:paraId="1C8001D0">
            <w:pPr>
              <w:spacing w:line="360" w:lineRule="exact"/>
              <w:jc w:val="left"/>
              <w:rPr>
                <w:rFonts w:ascii="宋体" w:hAnsi="宋体"/>
                <w:color w:val="000000"/>
                <w:sz w:val="15"/>
                <w:szCs w:val="15"/>
              </w:rPr>
            </w:pPr>
            <w:r>
              <w:rPr>
                <w:rFonts w:hint="eastAsia" w:ascii="宋体" w:hAnsi="宋体"/>
                <w:color w:val="000000"/>
                <w:sz w:val="15"/>
                <w:szCs w:val="15"/>
              </w:rPr>
              <w:t>2.</w:t>
            </w:r>
            <w:r>
              <w:rPr>
                <w:rFonts w:hint="eastAsia" w:ascii="宋体" w:hAnsi="宋体"/>
              </w:rPr>
              <w:t xml:space="preserve"> </w:t>
            </w:r>
            <w:r>
              <w:rPr>
                <w:rFonts w:hint="eastAsia" w:ascii="宋体" w:hAnsi="宋体"/>
                <w:color w:val="000000"/>
                <w:sz w:val="15"/>
                <w:szCs w:val="15"/>
              </w:rPr>
              <w:t>产品加工图设计</w:t>
            </w:r>
          </w:p>
          <w:p w14:paraId="19DD22FB">
            <w:pPr>
              <w:spacing w:line="360" w:lineRule="exact"/>
              <w:jc w:val="left"/>
              <w:rPr>
                <w:rFonts w:ascii="宋体" w:hAnsi="宋体"/>
                <w:color w:val="000000"/>
                <w:sz w:val="15"/>
                <w:szCs w:val="15"/>
              </w:rPr>
            </w:pPr>
            <w:r>
              <w:rPr>
                <w:rFonts w:hint="eastAsia" w:ascii="宋体" w:hAnsi="宋体"/>
                <w:color w:val="000000"/>
                <w:sz w:val="15"/>
                <w:szCs w:val="15"/>
              </w:rPr>
              <w:t>3.</w:t>
            </w:r>
            <w:r>
              <w:rPr>
                <w:rFonts w:hint="eastAsia" w:ascii="宋体" w:hAnsi="宋体"/>
              </w:rPr>
              <w:t xml:space="preserve"> </w:t>
            </w:r>
            <w:r>
              <w:rPr>
                <w:rFonts w:hint="eastAsia" w:ascii="宋体" w:hAnsi="宋体"/>
                <w:color w:val="000000"/>
                <w:sz w:val="15"/>
                <w:szCs w:val="15"/>
              </w:rPr>
              <w:t>电缆拓扑图</w:t>
            </w:r>
          </w:p>
          <w:p w14:paraId="5A50CD81">
            <w:pPr>
              <w:spacing w:line="360" w:lineRule="exact"/>
              <w:jc w:val="left"/>
              <w:rPr>
                <w:rFonts w:ascii="宋体" w:hAnsi="宋体"/>
                <w:color w:val="000000"/>
                <w:sz w:val="15"/>
                <w:szCs w:val="15"/>
              </w:rPr>
            </w:pPr>
            <w:r>
              <w:rPr>
                <w:rFonts w:hint="eastAsia" w:ascii="宋体" w:hAnsi="宋体"/>
                <w:color w:val="000000"/>
                <w:sz w:val="15"/>
                <w:szCs w:val="15"/>
              </w:rPr>
              <w:t>4.</w:t>
            </w:r>
            <w:r>
              <w:rPr>
                <w:rFonts w:hint="eastAsia" w:ascii="宋体" w:hAnsi="宋体"/>
              </w:rPr>
              <w:t xml:space="preserve"> </w:t>
            </w:r>
            <w:r>
              <w:rPr>
                <w:rFonts w:hint="eastAsia" w:ascii="宋体" w:hAnsi="宋体"/>
                <w:color w:val="000000"/>
                <w:sz w:val="15"/>
                <w:szCs w:val="15"/>
              </w:rPr>
              <w:t>可任意追加</w:t>
            </w:r>
            <w:r>
              <w:rPr>
                <w:rFonts w:ascii="宋体" w:hAnsi="宋体"/>
                <w:color w:val="000000"/>
                <w:sz w:val="15"/>
                <w:szCs w:val="15"/>
              </w:rPr>
              <w:t>/删除线缆节点</w:t>
            </w:r>
          </w:p>
          <w:p w14:paraId="47777F8F">
            <w:pPr>
              <w:spacing w:line="360" w:lineRule="exact"/>
              <w:jc w:val="left"/>
              <w:rPr>
                <w:rFonts w:ascii="宋体" w:hAnsi="宋体"/>
                <w:color w:val="000000"/>
                <w:sz w:val="15"/>
                <w:szCs w:val="15"/>
              </w:rPr>
            </w:pPr>
            <w:r>
              <w:rPr>
                <w:rFonts w:hint="eastAsia" w:ascii="宋体" w:hAnsi="宋体"/>
                <w:color w:val="000000"/>
                <w:sz w:val="15"/>
                <w:szCs w:val="15"/>
              </w:rPr>
              <w:t>5.</w:t>
            </w:r>
            <w:r>
              <w:rPr>
                <w:rFonts w:hint="eastAsia" w:ascii="宋体" w:hAnsi="宋体"/>
              </w:rPr>
              <w:t xml:space="preserve"> </w:t>
            </w:r>
            <w:r>
              <w:rPr>
                <w:rFonts w:hint="eastAsia" w:ascii="宋体" w:hAnsi="宋体"/>
                <w:color w:val="000000"/>
                <w:sz w:val="15"/>
                <w:szCs w:val="15"/>
              </w:rPr>
              <w:t>对线缆分支进行旋转，长度的伸缩，分割等操作</w:t>
            </w:r>
          </w:p>
        </w:tc>
        <w:tc>
          <w:tcPr>
            <w:tcW w:w="708" w:type="dxa"/>
            <w:vAlign w:val="center"/>
          </w:tcPr>
          <w:p w14:paraId="5B0BA259">
            <w:pPr>
              <w:spacing w:line="360" w:lineRule="exact"/>
              <w:jc w:val="center"/>
              <w:rPr>
                <w:rFonts w:ascii="宋体" w:hAnsi="宋体"/>
                <w:color w:val="000000"/>
              </w:rPr>
            </w:pPr>
            <w:r>
              <w:rPr>
                <w:rFonts w:hint="eastAsia" w:ascii="宋体" w:hAnsi="宋体"/>
                <w:color w:val="000000"/>
              </w:rPr>
              <w:t>套</w:t>
            </w:r>
          </w:p>
        </w:tc>
        <w:tc>
          <w:tcPr>
            <w:tcW w:w="709" w:type="dxa"/>
            <w:vAlign w:val="center"/>
          </w:tcPr>
          <w:p w14:paraId="4EEA893E">
            <w:pPr>
              <w:spacing w:line="360" w:lineRule="exact"/>
              <w:jc w:val="center"/>
              <w:rPr>
                <w:rFonts w:ascii="宋体" w:hAnsi="宋体"/>
                <w:color w:val="000000"/>
              </w:rPr>
            </w:pPr>
            <w:r>
              <w:rPr>
                <w:rFonts w:ascii="宋体" w:hAnsi="宋体"/>
                <w:color w:val="000000"/>
              </w:rPr>
              <w:t>9</w:t>
            </w:r>
          </w:p>
        </w:tc>
        <w:tc>
          <w:tcPr>
            <w:tcW w:w="2232" w:type="dxa"/>
            <w:vAlign w:val="center"/>
          </w:tcPr>
          <w:p w14:paraId="565C3278">
            <w:pPr>
              <w:spacing w:line="360" w:lineRule="exact"/>
              <w:jc w:val="center"/>
              <w:rPr>
                <w:rFonts w:ascii="宋体" w:hAnsi="宋体"/>
                <w:color w:val="000000"/>
                <w:sz w:val="15"/>
                <w:szCs w:val="15"/>
              </w:rPr>
            </w:pPr>
            <w:r>
              <w:rPr>
                <w:rFonts w:hint="eastAsia" w:ascii="宋体" w:hAnsi="宋体"/>
                <w:color w:val="000000"/>
                <w:sz w:val="15"/>
                <w:szCs w:val="15"/>
              </w:rPr>
              <w:t>济南/中国重汽集团济南动力有限公司汽研总院</w:t>
            </w:r>
          </w:p>
        </w:tc>
      </w:tr>
      <w:tr w14:paraId="01E74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dxa"/>
            <w:vAlign w:val="center"/>
          </w:tcPr>
          <w:p w14:paraId="46C59023">
            <w:pPr>
              <w:spacing w:line="360" w:lineRule="exact"/>
              <w:jc w:val="center"/>
              <w:rPr>
                <w:rFonts w:ascii="宋体" w:hAnsi="宋体"/>
                <w:color w:val="000000"/>
              </w:rPr>
            </w:pPr>
            <w:r>
              <w:rPr>
                <w:rFonts w:hint="eastAsia" w:ascii="宋体" w:hAnsi="宋体"/>
                <w:color w:val="000000"/>
              </w:rPr>
              <w:t>3</w:t>
            </w:r>
          </w:p>
        </w:tc>
        <w:tc>
          <w:tcPr>
            <w:tcW w:w="1850" w:type="dxa"/>
            <w:vAlign w:val="center"/>
          </w:tcPr>
          <w:p w14:paraId="1B74E529">
            <w:pPr>
              <w:spacing w:line="360" w:lineRule="exact"/>
              <w:jc w:val="center"/>
              <w:rPr>
                <w:rFonts w:ascii="宋体" w:hAnsi="宋体"/>
                <w:color w:val="000000"/>
              </w:rPr>
            </w:pPr>
            <w:r>
              <w:rPr>
                <w:rFonts w:hint="eastAsia"/>
              </w:rPr>
              <w:t>E3与PDM系统集成</w:t>
            </w:r>
          </w:p>
        </w:tc>
        <w:tc>
          <w:tcPr>
            <w:tcW w:w="3119" w:type="dxa"/>
            <w:vAlign w:val="center"/>
          </w:tcPr>
          <w:p w14:paraId="7D057F0D">
            <w:pPr>
              <w:spacing w:line="360" w:lineRule="exact"/>
              <w:jc w:val="left"/>
              <w:rPr>
                <w:rFonts w:ascii="宋体" w:hAnsi="宋体"/>
                <w:color w:val="000000"/>
                <w:sz w:val="15"/>
                <w:szCs w:val="15"/>
              </w:rPr>
            </w:pPr>
            <w:r>
              <w:rPr>
                <w:rFonts w:hint="eastAsia" w:ascii="宋体" w:hAnsi="宋体"/>
                <w:color w:val="000000"/>
                <w:sz w:val="15"/>
                <w:szCs w:val="15"/>
              </w:rPr>
              <w:t>1</w:t>
            </w:r>
            <w:r>
              <w:rPr>
                <w:rFonts w:ascii="宋体" w:hAnsi="宋体"/>
                <w:color w:val="000000"/>
                <w:sz w:val="15"/>
                <w:szCs w:val="15"/>
              </w:rPr>
              <w:t>.</w:t>
            </w:r>
            <w:r>
              <w:rPr>
                <w:rFonts w:hint="eastAsia" w:ascii="宋体" w:hAnsi="宋体"/>
                <w:color w:val="000000"/>
                <w:sz w:val="15"/>
                <w:szCs w:val="15"/>
              </w:rPr>
              <w:t>买断制一次性服务</w:t>
            </w:r>
          </w:p>
          <w:p w14:paraId="04B7C5DE">
            <w:pPr>
              <w:pStyle w:val="15"/>
              <w:rPr>
                <w:rFonts w:hAnsi="宋体"/>
                <w:color w:val="000000"/>
                <w:sz w:val="15"/>
                <w:szCs w:val="15"/>
              </w:rPr>
            </w:pPr>
            <w:r>
              <w:rPr>
                <w:rFonts w:hint="eastAsia" w:hAnsi="宋体"/>
                <w:color w:val="000000"/>
                <w:sz w:val="15"/>
                <w:szCs w:val="15"/>
              </w:rPr>
              <w:t>2</w:t>
            </w:r>
            <w:r>
              <w:rPr>
                <w:rFonts w:hAnsi="宋体"/>
                <w:color w:val="000000"/>
                <w:sz w:val="15"/>
                <w:szCs w:val="15"/>
              </w:rPr>
              <w:t>.</w:t>
            </w:r>
            <w:r>
              <w:rPr>
                <w:rFonts w:hint="eastAsia" w:hAnsi="宋体"/>
                <w:color w:val="000000"/>
                <w:sz w:val="15"/>
                <w:szCs w:val="15"/>
              </w:rPr>
              <w:t>图纸自动上传，流程自动提起</w:t>
            </w:r>
          </w:p>
          <w:p w14:paraId="6AF16F25">
            <w:pPr>
              <w:pStyle w:val="15"/>
            </w:pPr>
            <w:r>
              <w:rPr>
                <w:rFonts w:hint="eastAsia" w:hAnsi="宋体"/>
                <w:color w:val="000000"/>
                <w:sz w:val="15"/>
                <w:szCs w:val="15"/>
              </w:rPr>
              <w:t>3</w:t>
            </w:r>
            <w:r>
              <w:rPr>
                <w:rFonts w:hAnsi="宋体"/>
                <w:color w:val="000000"/>
                <w:sz w:val="15"/>
                <w:szCs w:val="15"/>
              </w:rPr>
              <w:t>.</w:t>
            </w:r>
            <w:r>
              <w:rPr>
                <w:rFonts w:hint="eastAsia" w:hAnsi="宋体"/>
                <w:color w:val="000000"/>
                <w:sz w:val="15"/>
                <w:szCs w:val="15"/>
              </w:rPr>
              <w:t>更改文件自动生成并上传</w:t>
            </w:r>
          </w:p>
        </w:tc>
        <w:tc>
          <w:tcPr>
            <w:tcW w:w="708" w:type="dxa"/>
            <w:vAlign w:val="center"/>
          </w:tcPr>
          <w:p w14:paraId="54AFF139">
            <w:pPr>
              <w:spacing w:line="360" w:lineRule="exact"/>
              <w:jc w:val="center"/>
              <w:rPr>
                <w:rFonts w:ascii="宋体" w:hAnsi="宋体"/>
                <w:color w:val="000000"/>
              </w:rPr>
            </w:pPr>
            <w:r>
              <w:rPr>
                <w:rFonts w:hint="eastAsia" w:ascii="宋体" w:hAnsi="宋体"/>
                <w:color w:val="000000"/>
              </w:rPr>
              <w:t>套</w:t>
            </w:r>
          </w:p>
        </w:tc>
        <w:tc>
          <w:tcPr>
            <w:tcW w:w="709" w:type="dxa"/>
            <w:vAlign w:val="center"/>
          </w:tcPr>
          <w:p w14:paraId="20C54AF8">
            <w:pPr>
              <w:spacing w:line="360" w:lineRule="exact"/>
              <w:jc w:val="center"/>
              <w:rPr>
                <w:rFonts w:ascii="宋体" w:hAnsi="宋体"/>
                <w:color w:val="000000"/>
              </w:rPr>
            </w:pPr>
            <w:r>
              <w:rPr>
                <w:rFonts w:ascii="宋体" w:hAnsi="宋体"/>
                <w:color w:val="000000"/>
              </w:rPr>
              <w:t>1</w:t>
            </w:r>
          </w:p>
        </w:tc>
        <w:tc>
          <w:tcPr>
            <w:tcW w:w="2232" w:type="dxa"/>
            <w:vAlign w:val="center"/>
          </w:tcPr>
          <w:p w14:paraId="4A29927B">
            <w:pPr>
              <w:spacing w:line="360" w:lineRule="exact"/>
              <w:jc w:val="center"/>
              <w:rPr>
                <w:rFonts w:ascii="宋体" w:hAnsi="宋体"/>
                <w:color w:val="000000"/>
                <w:sz w:val="15"/>
                <w:szCs w:val="15"/>
              </w:rPr>
            </w:pPr>
            <w:r>
              <w:rPr>
                <w:rFonts w:hint="eastAsia" w:ascii="宋体" w:hAnsi="宋体"/>
                <w:color w:val="000000"/>
                <w:sz w:val="15"/>
                <w:szCs w:val="15"/>
              </w:rPr>
              <w:t>济南/中国重汽集团济南动力有限公司汽研总院</w:t>
            </w:r>
          </w:p>
        </w:tc>
      </w:tr>
    </w:tbl>
    <w:p w14:paraId="4865A16A">
      <w:pPr>
        <w:spacing w:line="420" w:lineRule="exact"/>
        <w:ind w:firstLine="420" w:firstLineChars="200"/>
        <w:rPr>
          <w:rFonts w:ascii="宋体" w:hAnsi="宋体"/>
          <w:color w:val="000000"/>
          <w:szCs w:val="21"/>
        </w:rPr>
      </w:pPr>
      <w:r>
        <w:rPr>
          <w:rFonts w:hint="eastAsia" w:ascii="宋体" w:hAnsi="宋体"/>
          <w:color w:val="000000"/>
          <w:szCs w:val="21"/>
        </w:rPr>
        <w:t>备注：本表所列采购</w:t>
      </w:r>
      <w:r>
        <w:rPr>
          <w:rFonts w:hint="eastAsia" w:ascii="宋体" w:hAnsi="宋体"/>
          <w:color w:val="FF0000"/>
          <w:szCs w:val="21"/>
        </w:rPr>
        <w:t>软件</w:t>
      </w:r>
      <w:r>
        <w:rPr>
          <w:rFonts w:hint="eastAsia" w:ascii="宋体" w:hAnsi="宋体"/>
          <w:color w:val="000000"/>
          <w:szCs w:val="21"/>
        </w:rPr>
        <w:t>仅为</w:t>
      </w:r>
      <w:r>
        <w:rPr>
          <w:rFonts w:hint="eastAsia" w:ascii="宋体" w:hAnsi="宋体"/>
          <w:color w:val="FF0000"/>
          <w:szCs w:val="21"/>
        </w:rPr>
        <w:t>采购</w:t>
      </w:r>
      <w:r>
        <w:rPr>
          <w:rFonts w:hint="eastAsia" w:ascii="宋体" w:hAnsi="宋体"/>
          <w:color w:val="000000"/>
          <w:szCs w:val="21"/>
        </w:rPr>
        <w:t>的主要构成部分，</w:t>
      </w:r>
      <w:r>
        <w:rPr>
          <w:rFonts w:hint="eastAsia" w:ascii="宋体" w:hAnsi="宋体"/>
          <w:color w:val="FF0000"/>
          <w:szCs w:val="21"/>
        </w:rPr>
        <w:t>应配套供货以及招标方所列其它软件模块和服务</w:t>
      </w:r>
      <w:r>
        <w:rPr>
          <w:rFonts w:hint="eastAsia" w:ascii="宋体" w:hAnsi="宋体"/>
          <w:color w:val="000000"/>
          <w:szCs w:val="21"/>
        </w:rPr>
        <w:t>，请投标方认真阅读“供货范围”。若有异议，不管是多么微小，都应在投标文件“商务偏离”章节中予以详细说明。</w:t>
      </w:r>
    </w:p>
    <w:p w14:paraId="35FE640D">
      <w:pPr>
        <w:spacing w:line="420" w:lineRule="exact"/>
        <w:ind w:firstLine="420" w:firstLineChars="200"/>
        <w:rPr>
          <w:rFonts w:ascii="黑体" w:hAnsi="黑体" w:eastAsia="黑体"/>
          <w:color w:val="000000"/>
        </w:rPr>
      </w:pPr>
      <w:r>
        <w:rPr>
          <w:rFonts w:hint="eastAsia" w:ascii="黑体" w:hAnsi="黑体" w:eastAsia="黑体"/>
          <w:color w:val="000000"/>
        </w:rPr>
        <w:t>四、采购货物特别说明</w:t>
      </w:r>
    </w:p>
    <w:p w14:paraId="17B35A6E">
      <w:pPr>
        <w:spacing w:line="420" w:lineRule="exact"/>
        <w:ind w:firstLine="420" w:firstLineChars="200"/>
        <w:rPr>
          <w:rFonts w:ascii="宋体" w:hAnsi="宋体"/>
          <w:color w:val="000000"/>
        </w:rPr>
      </w:pPr>
      <w:r>
        <w:rPr>
          <w:rFonts w:hint="eastAsia" w:ascii="宋体" w:hAnsi="宋体"/>
          <w:color w:val="000000"/>
        </w:rPr>
        <w:t>招标方所列软件的名称和规格型号，如为某一供应商所特有，则该名称和规格型号可作参考；但要求投标方所提供的软件必须满足本技术标书实质性要求。</w:t>
      </w:r>
    </w:p>
    <w:p w14:paraId="59848FA8">
      <w:pPr>
        <w:pStyle w:val="123"/>
        <w:rPr>
          <w:rFonts w:ascii="黑体" w:hAnsi="黑体"/>
          <w:sz w:val="24"/>
        </w:rPr>
      </w:pPr>
      <w:r>
        <w:rPr>
          <w:rFonts w:ascii="宋体" w:hAnsi="宋体" w:eastAsia="宋体"/>
        </w:rPr>
        <w:br w:type="page"/>
      </w:r>
      <w:r>
        <w:rPr>
          <w:rFonts w:hint="eastAsia" w:ascii="黑体" w:hAnsi="黑体"/>
          <w:sz w:val="24"/>
        </w:rPr>
        <w:t xml:space="preserve">第二章 </w:t>
      </w:r>
      <w:r>
        <w:rPr>
          <w:rFonts w:ascii="黑体" w:hAnsi="黑体"/>
          <w:sz w:val="24"/>
        </w:rPr>
        <w:t xml:space="preserve"> </w:t>
      </w:r>
      <w:r>
        <w:rPr>
          <w:rFonts w:hint="eastAsia" w:ascii="黑体" w:hAnsi="黑体"/>
          <w:sz w:val="24"/>
        </w:rPr>
        <w:t>技术</w:t>
      </w:r>
      <w:bookmarkStart w:id="15" w:name="_Toc465187641"/>
      <w:r>
        <w:rPr>
          <w:rFonts w:hint="eastAsia" w:ascii="黑体" w:hAnsi="黑体"/>
          <w:sz w:val="24"/>
        </w:rPr>
        <w:t>要求</w:t>
      </w:r>
    </w:p>
    <w:p w14:paraId="7D137507">
      <w:pPr>
        <w:pStyle w:val="121"/>
        <w:rPr>
          <w:rFonts w:ascii="黑体" w:hAnsi="黑体"/>
          <w:sz w:val="21"/>
          <w:szCs w:val="21"/>
        </w:rPr>
      </w:pPr>
      <w:r>
        <w:rPr>
          <w:rFonts w:hint="eastAsia" w:ascii="黑体" w:hAnsi="黑体"/>
          <w:sz w:val="21"/>
          <w:szCs w:val="21"/>
        </w:rPr>
        <w:t>一、特别提示</w:t>
      </w:r>
    </w:p>
    <w:p w14:paraId="531E44CC">
      <w:pPr>
        <w:spacing w:line="420" w:lineRule="exact"/>
        <w:ind w:firstLine="420" w:firstLineChars="200"/>
        <w:rPr>
          <w:rFonts w:ascii="宋体" w:hAnsi="宋体"/>
          <w:color w:val="000000"/>
        </w:rPr>
      </w:pPr>
      <w:r>
        <w:rPr>
          <w:rFonts w:hint="eastAsia" w:ascii="宋体" w:hAnsi="宋体"/>
          <w:color w:val="000000"/>
        </w:rPr>
        <w:t>1、本章技术要求，仅对软件的使用功能方面，提出了最低和一般性的要求，并未对一切技术细节作出规定。</w:t>
      </w:r>
    </w:p>
    <w:p w14:paraId="78C039F8">
      <w:pPr>
        <w:spacing w:line="420" w:lineRule="exact"/>
        <w:ind w:firstLine="420" w:firstLineChars="200"/>
        <w:rPr>
          <w:rFonts w:ascii="宋体" w:hAnsi="宋体"/>
          <w:color w:val="000000"/>
        </w:rPr>
      </w:pPr>
      <w:r>
        <w:rPr>
          <w:rFonts w:hint="eastAsia" w:ascii="宋体" w:hAnsi="宋体"/>
          <w:color w:val="000000"/>
        </w:rPr>
        <w:t>2、本技术要求所使用的标准、规范等，如与投标方所执行的标准、规范不一致时，应按高于本技术要求所列的标准、规范执行。</w:t>
      </w:r>
    </w:p>
    <w:p w14:paraId="4CB07758">
      <w:pPr>
        <w:spacing w:line="420" w:lineRule="exact"/>
        <w:ind w:firstLine="420" w:firstLineChars="200"/>
        <w:rPr>
          <w:rFonts w:ascii="宋体" w:hAnsi="宋体"/>
          <w:color w:val="000000"/>
        </w:rPr>
      </w:pPr>
      <w:r>
        <w:rPr>
          <w:rFonts w:hint="eastAsia" w:ascii="宋体" w:hAnsi="宋体"/>
          <w:color w:val="000000"/>
        </w:rPr>
        <w:t>3、投标方认为所供软件必需由招标方配备、解决或提供的其它要求等，均应在投标文件“技术偏离”中予以充分说明。</w:t>
      </w:r>
    </w:p>
    <w:p w14:paraId="61E9DC71">
      <w:pPr>
        <w:spacing w:line="420" w:lineRule="exact"/>
        <w:ind w:firstLine="420" w:firstLineChars="200"/>
        <w:rPr>
          <w:rFonts w:ascii="宋体" w:hAnsi="宋体"/>
          <w:color w:val="000000"/>
        </w:rPr>
      </w:pPr>
      <w:r>
        <w:rPr>
          <w:rFonts w:hint="eastAsia" w:ascii="宋体" w:hAnsi="宋体"/>
          <w:color w:val="000000"/>
        </w:rPr>
        <w:t>4、投标方应根据招</w:t>
      </w:r>
      <w:r>
        <w:rPr>
          <w:rFonts w:hint="eastAsia" w:ascii="宋体" w:hAnsi="宋体"/>
          <w:color w:val="FF0000"/>
        </w:rPr>
        <w:t>投标软件具体要求，提出对P</w:t>
      </w:r>
      <w:r>
        <w:rPr>
          <w:rFonts w:ascii="宋体" w:hAnsi="宋体"/>
          <w:color w:val="FF0000"/>
        </w:rPr>
        <w:t>C</w:t>
      </w:r>
      <w:r>
        <w:rPr>
          <w:rFonts w:hint="eastAsia" w:ascii="宋体" w:hAnsi="宋体"/>
          <w:color w:val="FF0000"/>
        </w:rPr>
        <w:t>及服务器</w:t>
      </w:r>
      <w:r>
        <w:rPr>
          <w:rFonts w:hint="eastAsia" w:ascii="宋体" w:hAnsi="宋体"/>
          <w:color w:val="000000"/>
        </w:rPr>
        <w:t>等超出招标文件、投标文件、答疑文件、技术交流文件、技术协议书和合同等规定的、有特殊需要的解释、说明和要求。</w:t>
      </w:r>
    </w:p>
    <w:p w14:paraId="1BA86F89">
      <w:pPr>
        <w:spacing w:line="420" w:lineRule="exact"/>
        <w:ind w:firstLine="420" w:firstLineChars="200"/>
        <w:rPr>
          <w:rFonts w:ascii="宋体" w:hAnsi="宋体"/>
          <w:color w:val="000000"/>
        </w:rPr>
      </w:pPr>
      <w:r>
        <w:rPr>
          <w:rFonts w:hint="eastAsia" w:ascii="宋体" w:hAnsi="宋体"/>
          <w:color w:val="000000"/>
        </w:rPr>
        <w:t>5、无论是否有技术偏离，投标方均应在投标文件“技术偏离”中明确作出有无说明。若有异议，不管是多么微小，投标方必须予以明确和详细的说明或澄清。</w:t>
      </w:r>
    </w:p>
    <w:p w14:paraId="797C9AD8">
      <w:pPr>
        <w:spacing w:line="420" w:lineRule="exact"/>
        <w:ind w:firstLine="420" w:firstLineChars="200"/>
        <w:rPr>
          <w:rFonts w:ascii="宋体" w:hAnsi="宋体"/>
          <w:color w:val="000000"/>
        </w:rPr>
      </w:pPr>
      <w:r>
        <w:rPr>
          <w:rFonts w:hint="eastAsia" w:ascii="宋体" w:hAnsi="宋体"/>
          <w:color w:val="000000"/>
        </w:rPr>
        <w:t>6、为避免投标方优势在招标评审时漏项，质保期超出本技术标书要求的，应当在投标文件“技术偏离”中特别注明。</w:t>
      </w:r>
    </w:p>
    <w:p w14:paraId="49959A6D">
      <w:pPr>
        <w:pStyle w:val="121"/>
        <w:rPr>
          <w:rFonts w:ascii="黑体" w:hAnsi="黑体"/>
          <w:sz w:val="21"/>
          <w:szCs w:val="21"/>
        </w:rPr>
      </w:pPr>
      <w:r>
        <w:rPr>
          <w:rFonts w:hint="eastAsia" w:ascii="黑体" w:hAnsi="黑体"/>
          <w:sz w:val="21"/>
          <w:szCs w:val="21"/>
        </w:rPr>
        <w:t>二、基本要求</w:t>
      </w:r>
    </w:p>
    <w:p w14:paraId="4EA4F52A">
      <w:pPr>
        <w:spacing w:line="420" w:lineRule="exact"/>
        <w:ind w:firstLine="420" w:firstLineChars="200"/>
        <w:rPr>
          <w:rFonts w:ascii="宋体" w:hAnsi="宋体"/>
          <w:color w:val="000000"/>
        </w:rPr>
      </w:pPr>
      <w:r>
        <w:rPr>
          <w:rFonts w:hint="eastAsia" w:ascii="宋体" w:hAnsi="宋体"/>
          <w:color w:val="000000"/>
        </w:rPr>
        <w:t>1、投标方所供的</w:t>
      </w:r>
      <w:r>
        <w:rPr>
          <w:rFonts w:hint="eastAsia" w:ascii="宋体" w:hAnsi="宋体"/>
          <w:color w:val="FF0000"/>
        </w:rPr>
        <w:t>软件</w:t>
      </w:r>
      <w:r>
        <w:rPr>
          <w:rFonts w:hint="eastAsia" w:ascii="宋体" w:hAnsi="宋体"/>
          <w:color w:val="000000"/>
        </w:rPr>
        <w:t>，必须符合中国最新版的法律、法规和相关标准、规范的要求，符合项目所在地政府有关特殊要求。</w:t>
      </w:r>
    </w:p>
    <w:p w14:paraId="4CEA6EC2">
      <w:pPr>
        <w:spacing w:line="420" w:lineRule="exact"/>
        <w:ind w:firstLine="420" w:firstLineChars="200"/>
        <w:rPr>
          <w:rFonts w:ascii="宋体" w:hAnsi="宋体"/>
          <w:color w:val="000000"/>
        </w:rPr>
      </w:pPr>
      <w:r>
        <w:rPr>
          <w:rFonts w:hint="eastAsia" w:ascii="宋体" w:hAnsi="宋体"/>
          <w:color w:val="000000"/>
        </w:rPr>
        <w:t>2、投标方所供</w:t>
      </w:r>
      <w:r>
        <w:rPr>
          <w:rFonts w:hint="eastAsia" w:ascii="宋体" w:hAnsi="宋体"/>
          <w:color w:val="FF0000"/>
        </w:rPr>
        <w:t>软件</w:t>
      </w:r>
      <w:r>
        <w:rPr>
          <w:rFonts w:hint="eastAsia" w:ascii="宋体" w:hAnsi="宋体"/>
          <w:color w:val="000000"/>
        </w:rPr>
        <w:t>涉及的专利权技术以及知识产权保护的其它技术等，应保证招标方不因此受到任何侵权指控以及实际损失。</w:t>
      </w:r>
    </w:p>
    <w:p w14:paraId="6BF193F1">
      <w:pPr>
        <w:spacing w:line="420" w:lineRule="exact"/>
        <w:ind w:firstLine="420" w:firstLineChars="200"/>
        <w:rPr>
          <w:rFonts w:ascii="宋体" w:hAnsi="宋体"/>
          <w:color w:val="000000"/>
        </w:rPr>
      </w:pPr>
      <w:r>
        <w:rPr>
          <w:rFonts w:hint="eastAsia" w:ascii="宋体" w:hAnsi="宋体"/>
          <w:color w:val="000000"/>
        </w:rPr>
        <w:t>3、投标方</w:t>
      </w:r>
      <w:r>
        <w:rPr>
          <w:rFonts w:hint="eastAsia" w:ascii="宋体" w:hAnsi="宋体"/>
          <w:color w:val="FF0000"/>
        </w:rPr>
        <w:t>应保证所供软件的先进性、可靠性、经济性和实用性</w:t>
      </w:r>
      <w:r>
        <w:rPr>
          <w:rFonts w:hint="eastAsia" w:ascii="宋体" w:hAnsi="宋体"/>
          <w:color w:val="000000"/>
        </w:rPr>
        <w:t>。</w:t>
      </w:r>
    </w:p>
    <w:p w14:paraId="3B8C16DA">
      <w:pPr>
        <w:spacing w:line="420" w:lineRule="exact"/>
        <w:ind w:firstLine="420" w:firstLineChars="200"/>
        <w:rPr>
          <w:rFonts w:ascii="宋体" w:hAnsi="宋体"/>
          <w:color w:val="000000"/>
        </w:rPr>
      </w:pPr>
      <w:r>
        <w:rPr>
          <w:rFonts w:hint="eastAsia" w:ascii="宋体" w:hAnsi="宋体"/>
          <w:color w:val="000000"/>
        </w:rPr>
        <w:t>4、投标方应满足招标方提出的各项技术要求，必要时应当免费提供技术承诺或担保。</w:t>
      </w:r>
    </w:p>
    <w:p w14:paraId="31C454AE">
      <w:pPr>
        <w:spacing w:line="420" w:lineRule="exact"/>
        <w:ind w:firstLine="420" w:firstLineChars="200"/>
        <w:rPr>
          <w:rFonts w:ascii="宋体" w:hAnsi="宋体"/>
          <w:color w:val="000000"/>
        </w:rPr>
      </w:pPr>
      <w:r>
        <w:rPr>
          <w:rFonts w:hint="eastAsia" w:ascii="宋体" w:hAnsi="宋体"/>
          <w:color w:val="000000"/>
        </w:rPr>
        <w:t>5、</w:t>
      </w:r>
      <w:r>
        <w:rPr>
          <w:rFonts w:hint="eastAsia" w:ascii="宋体" w:hAnsi="宋体"/>
          <w:color w:val="FF0000"/>
        </w:rPr>
        <w:t>投标方应保证所供软件为中国政府指定或规定的主管部门公布的非淘汰货物。</w:t>
      </w:r>
      <w:r>
        <w:rPr>
          <w:rFonts w:ascii="宋体" w:hAnsi="宋体"/>
          <w:color w:val="000000"/>
        </w:rPr>
        <w:t xml:space="preserve"> </w:t>
      </w:r>
    </w:p>
    <w:p w14:paraId="15AE5B37">
      <w:pPr>
        <w:spacing w:line="420" w:lineRule="exact"/>
        <w:ind w:firstLine="420" w:firstLineChars="200"/>
        <w:rPr>
          <w:rFonts w:ascii="宋体" w:hAnsi="宋体"/>
          <w:color w:val="000000"/>
        </w:rPr>
      </w:pPr>
      <w:r>
        <w:rPr>
          <w:rFonts w:hint="eastAsia" w:ascii="宋体" w:hAnsi="宋体"/>
          <w:color w:val="000000"/>
        </w:rPr>
        <w:t>6、投标方应保证所供软件的完整性和成套性，能保证软件的正常运行、使用。</w:t>
      </w:r>
    </w:p>
    <w:p w14:paraId="7933B37D">
      <w:pPr>
        <w:spacing w:line="420" w:lineRule="exact"/>
        <w:ind w:firstLine="420" w:firstLineChars="200"/>
        <w:rPr>
          <w:rFonts w:ascii="宋体" w:hAnsi="宋体"/>
          <w:color w:val="000000"/>
        </w:rPr>
      </w:pPr>
      <w:r>
        <w:rPr>
          <w:rFonts w:hint="eastAsia" w:ascii="宋体" w:hAnsi="宋体"/>
          <w:color w:val="000000"/>
        </w:rPr>
        <w:t>7、投标方应对招标方采购的</w:t>
      </w:r>
      <w:r>
        <w:rPr>
          <w:rFonts w:hint="eastAsia" w:ascii="宋体" w:hAnsi="宋体"/>
          <w:color w:val="FF0000"/>
        </w:rPr>
        <w:t>软件</w:t>
      </w:r>
      <w:r>
        <w:rPr>
          <w:rFonts w:hint="eastAsia" w:ascii="宋体" w:hAnsi="宋体"/>
          <w:color w:val="000000"/>
        </w:rPr>
        <w:t>所涉及的技术、产能等信息负有保密义务，招标方拥有追究投标方泄密责任的权利；招标方如有需要，投标方应无条件签署保密协议。</w:t>
      </w:r>
    </w:p>
    <w:p w14:paraId="1D5328B0">
      <w:pPr>
        <w:spacing w:line="360" w:lineRule="auto"/>
        <w:ind w:firstLine="420" w:firstLineChars="200"/>
        <w:rPr>
          <w:rFonts w:ascii="宋体" w:hAnsi="宋体"/>
          <w:color w:val="000000"/>
        </w:rPr>
      </w:pPr>
    </w:p>
    <w:p w14:paraId="22D9C10F">
      <w:pPr>
        <w:pStyle w:val="121"/>
        <w:rPr>
          <w:rFonts w:eastAsia="宋体"/>
          <w:color w:val="000000"/>
        </w:rPr>
      </w:pPr>
      <w:r>
        <w:rPr>
          <w:rFonts w:hint="eastAsia" w:ascii="黑体" w:hAnsi="黑体"/>
          <w:sz w:val="21"/>
          <w:szCs w:val="21"/>
        </w:rPr>
        <w:t>三、技术要求</w:t>
      </w:r>
      <w:r>
        <w:rPr>
          <w:rFonts w:hint="eastAsia" w:eastAsia="宋体"/>
          <w:color w:val="000000"/>
        </w:rPr>
        <w:t>：</w:t>
      </w:r>
    </w:p>
    <w:p w14:paraId="0C656BE0">
      <w:pPr>
        <w:pStyle w:val="118"/>
        <w:rPr>
          <w:rFonts w:ascii="宋体" w:hAnsi="宋体"/>
        </w:rPr>
      </w:pPr>
      <w:r>
        <w:rPr>
          <w:rFonts w:hint="eastAsia" w:ascii="宋体" w:hAnsi="宋体"/>
        </w:rPr>
        <w:t>3.1、三维布线软件主要参数及性能指标要求</w:t>
      </w:r>
    </w:p>
    <w:tbl>
      <w:tblPr>
        <w:tblStyle w:val="31"/>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225"/>
        <w:gridCol w:w="5592"/>
        <w:gridCol w:w="2243"/>
      </w:tblGrid>
      <w:tr w14:paraId="7C1B24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6" w:type="pct"/>
            <w:tcBorders>
              <w:top w:val="single" w:color="auto" w:sz="4" w:space="0"/>
              <w:left w:val="single" w:color="auto" w:sz="4" w:space="0"/>
              <w:bottom w:val="single" w:color="auto" w:sz="4" w:space="0"/>
              <w:right w:val="single" w:color="auto" w:sz="4" w:space="0"/>
            </w:tcBorders>
          </w:tcPr>
          <w:p w14:paraId="5D9A1E1D">
            <w:pPr>
              <w:pStyle w:val="116"/>
              <w:rPr>
                <w:rFonts w:ascii="宋体" w:hAnsi="宋体"/>
              </w:rPr>
            </w:pPr>
            <w:r>
              <w:rPr>
                <w:rFonts w:hint="eastAsia" w:ascii="宋体" w:hAnsi="宋体" w:cs="宋体"/>
              </w:rPr>
              <w:t>序号</w:t>
            </w:r>
          </w:p>
        </w:tc>
        <w:tc>
          <w:tcPr>
            <w:tcW w:w="3086" w:type="pct"/>
            <w:tcBorders>
              <w:top w:val="single" w:color="auto" w:sz="4" w:space="0"/>
              <w:left w:val="single" w:color="auto" w:sz="4" w:space="0"/>
              <w:bottom w:val="single" w:color="auto" w:sz="4" w:space="0"/>
              <w:right w:val="single" w:color="auto" w:sz="4" w:space="0"/>
            </w:tcBorders>
          </w:tcPr>
          <w:p w14:paraId="2AF4C097">
            <w:pPr>
              <w:pStyle w:val="116"/>
              <w:rPr>
                <w:rFonts w:ascii="宋体" w:hAnsi="宋体"/>
              </w:rPr>
            </w:pPr>
            <w:r>
              <w:rPr>
                <w:rFonts w:hint="eastAsia" w:ascii="宋体" w:hAnsi="宋体" w:cs="宋体"/>
              </w:rPr>
              <w:t>主要技术参数及性能指标要求</w:t>
            </w:r>
          </w:p>
        </w:tc>
        <w:tc>
          <w:tcPr>
            <w:tcW w:w="1238" w:type="pct"/>
            <w:tcBorders>
              <w:top w:val="single" w:color="auto" w:sz="4" w:space="0"/>
              <w:left w:val="single" w:color="auto" w:sz="4" w:space="0"/>
              <w:bottom w:val="single" w:color="auto" w:sz="4" w:space="0"/>
              <w:right w:val="single" w:color="auto" w:sz="4" w:space="0"/>
            </w:tcBorders>
          </w:tcPr>
          <w:p w14:paraId="08A2F4A4">
            <w:pPr>
              <w:pStyle w:val="116"/>
              <w:rPr>
                <w:rFonts w:ascii="宋体" w:hAnsi="宋体"/>
              </w:rPr>
            </w:pPr>
            <w:r>
              <w:rPr>
                <w:rFonts w:hint="eastAsia" w:ascii="宋体" w:hAnsi="宋体" w:cs="宋体"/>
              </w:rPr>
              <w:t>备注</w:t>
            </w:r>
          </w:p>
        </w:tc>
      </w:tr>
      <w:tr w14:paraId="594843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6" w:type="pct"/>
            <w:tcBorders>
              <w:top w:val="single" w:color="auto" w:sz="4" w:space="0"/>
              <w:left w:val="single" w:color="auto" w:sz="4" w:space="0"/>
              <w:bottom w:val="single" w:color="auto" w:sz="4" w:space="0"/>
              <w:right w:val="single" w:color="auto" w:sz="4" w:space="0"/>
            </w:tcBorders>
            <w:vAlign w:val="center"/>
          </w:tcPr>
          <w:p w14:paraId="12E2EAD3">
            <w:pPr>
              <w:pStyle w:val="116"/>
              <w:rPr>
                <w:rFonts w:ascii="宋体" w:hAnsi="宋体"/>
                <w:b w:val="0"/>
              </w:rPr>
            </w:pPr>
            <w:r>
              <w:rPr>
                <w:rFonts w:hint="eastAsia" w:ascii="宋体" w:hAnsi="宋体"/>
                <w:b w:val="0"/>
              </w:rPr>
              <w:t>1</w:t>
            </w:r>
          </w:p>
        </w:tc>
        <w:tc>
          <w:tcPr>
            <w:tcW w:w="3086" w:type="pct"/>
            <w:tcBorders>
              <w:top w:val="single" w:color="auto" w:sz="4" w:space="0"/>
              <w:left w:val="single" w:color="auto" w:sz="4" w:space="0"/>
              <w:bottom w:val="single" w:color="auto" w:sz="4" w:space="0"/>
              <w:right w:val="single" w:color="auto" w:sz="4" w:space="0"/>
            </w:tcBorders>
          </w:tcPr>
          <w:p w14:paraId="746EE76C">
            <w:pPr>
              <w:pStyle w:val="116"/>
              <w:jc w:val="left"/>
              <w:rPr>
                <w:rFonts w:ascii="宋体" w:hAnsi="宋体"/>
                <w:b w:val="0"/>
              </w:rPr>
            </w:pPr>
            <w:r>
              <w:rPr>
                <w:rFonts w:ascii="宋体" w:hAnsi="宋体" w:cs="Arial"/>
                <w:b w:val="0"/>
              </w:rPr>
              <w:t>完全的数据统一与一致性管理。项目信息（如设计信息、制造商信息和目录信息等）可存储于如：Microsoft SQL Server、Oracle等数据管理平台中，并可以在设计软件或数据库管理平台中快速进行修改；可以对项目、图纸、器件等所有数据信息进行批处理更改维护，且一旦在任意处进行编辑，项目里与其相关的所有数据即可同时更改，即以动态数据管理平台为支撑，实现图纸资料之间的多向、可逆、实时关联。</w:t>
            </w:r>
          </w:p>
        </w:tc>
        <w:tc>
          <w:tcPr>
            <w:tcW w:w="1238" w:type="pct"/>
            <w:tcBorders>
              <w:top w:val="single" w:color="auto" w:sz="4" w:space="0"/>
              <w:left w:val="single" w:color="auto" w:sz="4" w:space="0"/>
              <w:bottom w:val="single" w:color="auto" w:sz="4" w:space="0"/>
              <w:right w:val="single" w:color="auto" w:sz="4" w:space="0"/>
            </w:tcBorders>
          </w:tcPr>
          <w:p w14:paraId="60883FCA">
            <w:pPr>
              <w:pStyle w:val="116"/>
              <w:rPr>
                <w:rFonts w:ascii="宋体" w:hAnsi="宋体"/>
                <w:b w:val="0"/>
              </w:rPr>
            </w:pPr>
          </w:p>
        </w:tc>
      </w:tr>
      <w:tr w14:paraId="5E649B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6" w:type="pct"/>
            <w:tcBorders>
              <w:top w:val="single" w:color="auto" w:sz="4" w:space="0"/>
              <w:left w:val="single" w:color="auto" w:sz="4" w:space="0"/>
              <w:bottom w:val="single" w:color="auto" w:sz="4" w:space="0"/>
              <w:right w:val="single" w:color="auto" w:sz="4" w:space="0"/>
            </w:tcBorders>
            <w:vAlign w:val="center"/>
          </w:tcPr>
          <w:p w14:paraId="75949025">
            <w:pPr>
              <w:pStyle w:val="116"/>
              <w:rPr>
                <w:rFonts w:ascii="宋体" w:hAnsi="宋体"/>
                <w:b w:val="0"/>
              </w:rPr>
            </w:pPr>
            <w:r>
              <w:rPr>
                <w:rFonts w:hint="eastAsia" w:ascii="宋体" w:hAnsi="宋体"/>
                <w:b w:val="0"/>
              </w:rPr>
              <w:t>2</w:t>
            </w:r>
          </w:p>
        </w:tc>
        <w:tc>
          <w:tcPr>
            <w:tcW w:w="3086" w:type="pct"/>
            <w:tcBorders>
              <w:top w:val="single" w:color="auto" w:sz="4" w:space="0"/>
              <w:left w:val="single" w:color="auto" w:sz="4" w:space="0"/>
              <w:bottom w:val="single" w:color="auto" w:sz="4" w:space="0"/>
              <w:right w:val="single" w:color="auto" w:sz="4" w:space="0"/>
            </w:tcBorders>
          </w:tcPr>
          <w:p w14:paraId="3DDF7F72">
            <w:pPr>
              <w:pStyle w:val="116"/>
              <w:jc w:val="left"/>
              <w:rPr>
                <w:rFonts w:ascii="宋体" w:hAnsi="宋体"/>
                <w:b w:val="0"/>
              </w:rPr>
            </w:pPr>
            <w:r>
              <w:rPr>
                <w:rFonts w:ascii="宋体" w:hAnsi="宋体" w:cs="Arial"/>
                <w:b w:val="0"/>
              </w:rPr>
              <w:t>支持GB、IEC、JIC、DIN等多种标准的图形符号库，并能定制符合</w:t>
            </w:r>
            <w:r>
              <w:rPr>
                <w:rFonts w:hint="eastAsia" w:ascii="宋体" w:hAnsi="宋体" w:cs="Arial"/>
                <w:b w:val="0"/>
              </w:rPr>
              <w:t>重汽</w:t>
            </w:r>
            <w:r>
              <w:rPr>
                <w:rFonts w:ascii="宋体" w:hAnsi="宋体" w:cs="Arial"/>
                <w:b w:val="0"/>
              </w:rPr>
              <w:t>标准的图形符号库。可以方便快速地创建器件信息、元件图库、标准电路图库。</w:t>
            </w:r>
          </w:p>
        </w:tc>
        <w:tc>
          <w:tcPr>
            <w:tcW w:w="1238" w:type="pct"/>
            <w:tcBorders>
              <w:top w:val="single" w:color="auto" w:sz="4" w:space="0"/>
              <w:left w:val="single" w:color="auto" w:sz="4" w:space="0"/>
              <w:bottom w:val="single" w:color="auto" w:sz="4" w:space="0"/>
              <w:right w:val="single" w:color="auto" w:sz="4" w:space="0"/>
            </w:tcBorders>
          </w:tcPr>
          <w:p w14:paraId="46611C70">
            <w:pPr>
              <w:pStyle w:val="116"/>
              <w:rPr>
                <w:rFonts w:ascii="宋体" w:hAnsi="宋体"/>
                <w:b w:val="0"/>
              </w:rPr>
            </w:pPr>
          </w:p>
        </w:tc>
      </w:tr>
      <w:tr w14:paraId="681AED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6" w:type="pct"/>
            <w:tcBorders>
              <w:top w:val="single" w:color="auto" w:sz="4" w:space="0"/>
              <w:left w:val="single" w:color="auto" w:sz="4" w:space="0"/>
              <w:bottom w:val="single" w:color="auto" w:sz="4" w:space="0"/>
              <w:right w:val="single" w:color="auto" w:sz="4" w:space="0"/>
            </w:tcBorders>
            <w:vAlign w:val="center"/>
          </w:tcPr>
          <w:p w14:paraId="75017830">
            <w:pPr>
              <w:pStyle w:val="116"/>
              <w:rPr>
                <w:rFonts w:ascii="宋体" w:hAnsi="宋体"/>
                <w:b w:val="0"/>
              </w:rPr>
            </w:pPr>
            <w:r>
              <w:rPr>
                <w:rFonts w:hint="eastAsia" w:ascii="宋体" w:hAnsi="宋体"/>
                <w:b w:val="0"/>
              </w:rPr>
              <w:t>3</w:t>
            </w:r>
          </w:p>
        </w:tc>
        <w:tc>
          <w:tcPr>
            <w:tcW w:w="3086" w:type="pct"/>
            <w:tcBorders>
              <w:top w:val="single" w:color="auto" w:sz="4" w:space="0"/>
              <w:left w:val="single" w:color="auto" w:sz="4" w:space="0"/>
              <w:bottom w:val="single" w:color="auto" w:sz="4" w:space="0"/>
              <w:right w:val="single" w:color="auto" w:sz="4" w:space="0"/>
            </w:tcBorders>
          </w:tcPr>
          <w:p w14:paraId="1D295174">
            <w:pPr>
              <w:pStyle w:val="116"/>
              <w:jc w:val="left"/>
              <w:rPr>
                <w:rFonts w:ascii="宋体" w:hAnsi="宋体"/>
                <w:b w:val="0"/>
              </w:rPr>
            </w:pPr>
            <w:r>
              <w:rPr>
                <w:rFonts w:ascii="宋体" w:hAnsi="宋体" w:cs="Arial"/>
                <w:b w:val="0"/>
              </w:rPr>
              <w:t>元器件</w:t>
            </w:r>
            <w:r>
              <w:rPr>
                <w:rFonts w:hint="eastAsia" w:ascii="宋体" w:hAnsi="宋体" w:cs="Arial"/>
                <w:b w:val="0"/>
              </w:rPr>
              <w:t>数据</w:t>
            </w:r>
            <w:r>
              <w:rPr>
                <w:rFonts w:ascii="宋体" w:hAnsi="宋体" w:cs="Arial"/>
                <w:b w:val="0"/>
              </w:rPr>
              <w:t>库应基本涵盖</w:t>
            </w:r>
            <w:r>
              <w:rPr>
                <w:rFonts w:hint="eastAsia" w:ascii="宋体" w:hAnsi="宋体" w:cs="Arial"/>
                <w:b w:val="0"/>
              </w:rPr>
              <w:t>汽车行业常用厂家的信息，</w:t>
            </w:r>
            <w:r>
              <w:rPr>
                <w:rFonts w:ascii="宋体" w:hAnsi="宋体" w:cs="Arial"/>
                <w:b w:val="0"/>
              </w:rPr>
              <w:t>上述信息库需实现分类别和分厂商等多种管理和检索方式。</w:t>
            </w:r>
            <w:r>
              <w:rPr>
                <w:rFonts w:hint="eastAsia" w:ascii="宋体" w:hAnsi="宋体" w:cs="Arial"/>
                <w:b w:val="0"/>
              </w:rPr>
              <w:t>该数据库要向重汽开发，软件交付验收后重汽可自行管理、删除、增加、变更该数据库。</w:t>
            </w:r>
          </w:p>
        </w:tc>
        <w:tc>
          <w:tcPr>
            <w:tcW w:w="1238" w:type="pct"/>
            <w:tcBorders>
              <w:top w:val="single" w:color="auto" w:sz="4" w:space="0"/>
              <w:left w:val="single" w:color="auto" w:sz="4" w:space="0"/>
              <w:bottom w:val="single" w:color="auto" w:sz="4" w:space="0"/>
              <w:right w:val="single" w:color="auto" w:sz="4" w:space="0"/>
            </w:tcBorders>
          </w:tcPr>
          <w:p w14:paraId="2FCC271C">
            <w:pPr>
              <w:pStyle w:val="116"/>
              <w:rPr>
                <w:rFonts w:ascii="宋体" w:hAnsi="宋体"/>
                <w:b w:val="0"/>
              </w:rPr>
            </w:pPr>
          </w:p>
        </w:tc>
      </w:tr>
      <w:tr w14:paraId="49E004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6" w:type="pct"/>
            <w:tcBorders>
              <w:top w:val="single" w:color="auto" w:sz="4" w:space="0"/>
              <w:left w:val="single" w:color="auto" w:sz="4" w:space="0"/>
              <w:bottom w:val="single" w:color="auto" w:sz="4" w:space="0"/>
              <w:right w:val="single" w:color="auto" w:sz="4" w:space="0"/>
            </w:tcBorders>
            <w:vAlign w:val="center"/>
          </w:tcPr>
          <w:p w14:paraId="7779FBD4">
            <w:pPr>
              <w:pStyle w:val="116"/>
              <w:rPr>
                <w:rFonts w:ascii="宋体" w:hAnsi="宋体"/>
                <w:b w:val="0"/>
              </w:rPr>
            </w:pPr>
            <w:r>
              <w:rPr>
                <w:rFonts w:hint="eastAsia" w:ascii="宋体" w:hAnsi="宋体"/>
                <w:b w:val="0"/>
              </w:rPr>
              <w:t>4</w:t>
            </w:r>
          </w:p>
        </w:tc>
        <w:tc>
          <w:tcPr>
            <w:tcW w:w="3086" w:type="pct"/>
            <w:tcBorders>
              <w:top w:val="single" w:color="auto" w:sz="4" w:space="0"/>
              <w:left w:val="single" w:color="auto" w:sz="4" w:space="0"/>
              <w:bottom w:val="single" w:color="auto" w:sz="4" w:space="0"/>
              <w:right w:val="single" w:color="auto" w:sz="4" w:space="0"/>
            </w:tcBorders>
          </w:tcPr>
          <w:p w14:paraId="3627CEEB">
            <w:pPr>
              <w:pStyle w:val="8"/>
              <w:ind w:firstLine="0" w:firstLineChars="0"/>
              <w:jc w:val="both"/>
              <w:rPr>
                <w:rFonts w:hAnsi="宋体"/>
                <w:b/>
              </w:rPr>
            </w:pPr>
            <w:r>
              <w:rPr>
                <w:rFonts w:hAnsi="宋体" w:cs="Arial"/>
                <w:sz w:val="21"/>
                <w:szCs w:val="21"/>
              </w:rPr>
              <w:t>在同一界面下完成原理图</w:t>
            </w:r>
            <w:r>
              <w:rPr>
                <w:rFonts w:hint="eastAsia" w:hAnsi="宋体" w:cs="Arial"/>
                <w:sz w:val="21"/>
                <w:szCs w:val="21"/>
              </w:rPr>
              <w:t>、线束图、钉板图</w:t>
            </w:r>
            <w:r>
              <w:rPr>
                <w:rFonts w:hAnsi="宋体" w:cs="Arial"/>
                <w:sz w:val="21"/>
                <w:szCs w:val="21"/>
              </w:rPr>
              <w:t>的设计</w:t>
            </w:r>
            <w:r>
              <w:rPr>
                <w:rFonts w:hint="eastAsia" w:hAnsi="宋体" w:cs="Arial"/>
                <w:sz w:val="21"/>
                <w:szCs w:val="21"/>
              </w:rPr>
              <w:t>；并通过CATIA的集成实现精准的空间布线路由并计算线束线缆长度；能够自动输出</w:t>
            </w:r>
            <w:r>
              <w:rPr>
                <w:rFonts w:hAnsi="宋体" w:cs="Arial"/>
                <w:sz w:val="21"/>
                <w:szCs w:val="21"/>
              </w:rPr>
              <w:t>接线表、材料清单和元件报表等多种文档的生成；图纸文件、电子表格和各说明文档间相互关联性好，始终与后台数据保持同步，并可用Word、Excel 、Access等格式输出</w:t>
            </w:r>
            <w:r>
              <w:rPr>
                <w:rFonts w:hint="eastAsia" w:hAnsi="宋体" w:cs="Arial"/>
                <w:sz w:val="21"/>
                <w:szCs w:val="21"/>
              </w:rPr>
              <w:t>，各类报表支持定制化开发</w:t>
            </w:r>
            <w:r>
              <w:rPr>
                <w:rFonts w:hAnsi="宋体" w:cs="Arial"/>
                <w:sz w:val="21"/>
                <w:szCs w:val="21"/>
              </w:rPr>
              <w:t>。</w:t>
            </w:r>
          </w:p>
        </w:tc>
        <w:tc>
          <w:tcPr>
            <w:tcW w:w="1238" w:type="pct"/>
            <w:tcBorders>
              <w:top w:val="single" w:color="auto" w:sz="4" w:space="0"/>
              <w:left w:val="single" w:color="auto" w:sz="4" w:space="0"/>
              <w:bottom w:val="single" w:color="auto" w:sz="4" w:space="0"/>
              <w:right w:val="single" w:color="auto" w:sz="4" w:space="0"/>
            </w:tcBorders>
          </w:tcPr>
          <w:p w14:paraId="37CF8DB1">
            <w:pPr>
              <w:pStyle w:val="116"/>
              <w:rPr>
                <w:rFonts w:ascii="宋体" w:hAnsi="宋体"/>
                <w:b w:val="0"/>
              </w:rPr>
            </w:pPr>
          </w:p>
        </w:tc>
      </w:tr>
      <w:tr w14:paraId="414B1A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6" w:type="pct"/>
            <w:tcBorders>
              <w:top w:val="single" w:color="auto" w:sz="4" w:space="0"/>
              <w:left w:val="single" w:color="auto" w:sz="4" w:space="0"/>
              <w:bottom w:val="single" w:color="auto" w:sz="4" w:space="0"/>
              <w:right w:val="single" w:color="auto" w:sz="4" w:space="0"/>
            </w:tcBorders>
            <w:vAlign w:val="center"/>
          </w:tcPr>
          <w:p w14:paraId="5A13E951">
            <w:pPr>
              <w:pStyle w:val="116"/>
              <w:rPr>
                <w:rFonts w:ascii="宋体" w:hAnsi="宋体"/>
                <w:b w:val="0"/>
              </w:rPr>
            </w:pPr>
            <w:r>
              <w:rPr>
                <w:rFonts w:hint="eastAsia" w:ascii="宋体" w:hAnsi="宋体"/>
                <w:b w:val="0"/>
              </w:rPr>
              <w:t>5</w:t>
            </w:r>
          </w:p>
        </w:tc>
        <w:tc>
          <w:tcPr>
            <w:tcW w:w="3086" w:type="pct"/>
            <w:tcBorders>
              <w:top w:val="single" w:color="auto" w:sz="4" w:space="0"/>
              <w:left w:val="single" w:color="auto" w:sz="4" w:space="0"/>
              <w:bottom w:val="single" w:color="auto" w:sz="4" w:space="0"/>
              <w:right w:val="single" w:color="auto" w:sz="4" w:space="0"/>
            </w:tcBorders>
          </w:tcPr>
          <w:p w14:paraId="49565B56">
            <w:pPr>
              <w:pStyle w:val="116"/>
              <w:jc w:val="left"/>
              <w:rPr>
                <w:rFonts w:ascii="宋体" w:hAnsi="宋体"/>
                <w:b w:val="0"/>
              </w:rPr>
            </w:pPr>
            <w:r>
              <w:rPr>
                <w:rFonts w:hint="eastAsia" w:ascii="宋体" w:hAnsi="宋体" w:cs="Arial"/>
                <w:b w:val="0"/>
              </w:rPr>
              <w:t>车型</w:t>
            </w:r>
            <w:r>
              <w:rPr>
                <w:rFonts w:ascii="宋体" w:hAnsi="宋体" w:cs="Arial"/>
                <w:b w:val="0"/>
              </w:rPr>
              <w:t>各</w:t>
            </w:r>
            <w:r>
              <w:rPr>
                <w:rFonts w:hint="eastAsia" w:ascii="宋体" w:hAnsi="宋体" w:cs="Arial"/>
                <w:b w:val="0"/>
              </w:rPr>
              <w:t>类</w:t>
            </w:r>
            <w:r>
              <w:rPr>
                <w:rFonts w:ascii="宋体" w:hAnsi="宋体" w:cs="Arial"/>
                <w:b w:val="0"/>
              </w:rPr>
              <w:t>图纸及</w:t>
            </w:r>
            <w:r>
              <w:rPr>
                <w:rFonts w:hint="eastAsia" w:ascii="宋体" w:hAnsi="宋体" w:cs="Arial"/>
                <w:b w:val="0"/>
              </w:rPr>
              <w:t>元器件之间的</w:t>
            </w:r>
            <w:r>
              <w:rPr>
                <w:rFonts w:ascii="宋体" w:hAnsi="宋体" w:cs="Arial"/>
                <w:b w:val="0"/>
              </w:rPr>
              <w:t>逻辑关系自动关联。设计过程中能跟踪所有器件的编号（包含线号），自动更新电路及信号参考。选取一个元器件或元器件代码时，元器件的电气符号将自动得到。</w:t>
            </w:r>
          </w:p>
        </w:tc>
        <w:tc>
          <w:tcPr>
            <w:tcW w:w="1238" w:type="pct"/>
            <w:tcBorders>
              <w:top w:val="single" w:color="auto" w:sz="4" w:space="0"/>
              <w:left w:val="single" w:color="auto" w:sz="4" w:space="0"/>
              <w:bottom w:val="single" w:color="auto" w:sz="4" w:space="0"/>
              <w:right w:val="single" w:color="auto" w:sz="4" w:space="0"/>
            </w:tcBorders>
          </w:tcPr>
          <w:p w14:paraId="6F03C261">
            <w:pPr>
              <w:pStyle w:val="116"/>
              <w:rPr>
                <w:rFonts w:ascii="宋体" w:hAnsi="宋体"/>
                <w:b w:val="0"/>
              </w:rPr>
            </w:pPr>
          </w:p>
        </w:tc>
      </w:tr>
      <w:tr w14:paraId="1C9C1E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6" w:type="pct"/>
            <w:tcBorders>
              <w:top w:val="single" w:color="auto" w:sz="4" w:space="0"/>
              <w:left w:val="single" w:color="auto" w:sz="4" w:space="0"/>
              <w:bottom w:val="single" w:color="auto" w:sz="4" w:space="0"/>
              <w:right w:val="single" w:color="auto" w:sz="4" w:space="0"/>
            </w:tcBorders>
            <w:vAlign w:val="center"/>
          </w:tcPr>
          <w:p w14:paraId="78041E44">
            <w:pPr>
              <w:pStyle w:val="116"/>
              <w:rPr>
                <w:rFonts w:ascii="宋体" w:hAnsi="宋体"/>
                <w:b w:val="0"/>
              </w:rPr>
            </w:pPr>
            <w:r>
              <w:rPr>
                <w:rFonts w:hint="eastAsia" w:ascii="宋体" w:hAnsi="宋体"/>
                <w:b w:val="0"/>
              </w:rPr>
              <w:t>6</w:t>
            </w:r>
          </w:p>
        </w:tc>
        <w:tc>
          <w:tcPr>
            <w:tcW w:w="3086" w:type="pct"/>
            <w:tcBorders>
              <w:top w:val="single" w:color="auto" w:sz="4" w:space="0"/>
              <w:left w:val="single" w:color="auto" w:sz="4" w:space="0"/>
              <w:bottom w:val="single" w:color="auto" w:sz="4" w:space="0"/>
              <w:right w:val="single" w:color="auto" w:sz="4" w:space="0"/>
            </w:tcBorders>
          </w:tcPr>
          <w:p w14:paraId="12DD93C7">
            <w:pPr>
              <w:pStyle w:val="116"/>
              <w:jc w:val="left"/>
              <w:rPr>
                <w:rFonts w:ascii="宋体" w:hAnsi="宋体"/>
                <w:b w:val="0"/>
              </w:rPr>
            </w:pPr>
            <w:r>
              <w:rPr>
                <w:rFonts w:ascii="宋体" w:hAnsi="宋体" w:cs="Arial"/>
                <w:b w:val="0"/>
              </w:rPr>
              <w:t>器件、节点、线号等的自动编号。能够按照定制的编号方式对元器件、节点、线号、端子排、端子（各接线点）、电缆电线进行自动编号，当器件增加或减少时，器件编号能够自动调整，并且节点号和线号能够随着回路的更改自动调整。</w:t>
            </w:r>
          </w:p>
        </w:tc>
        <w:tc>
          <w:tcPr>
            <w:tcW w:w="1238" w:type="pct"/>
            <w:tcBorders>
              <w:top w:val="single" w:color="auto" w:sz="4" w:space="0"/>
              <w:left w:val="single" w:color="auto" w:sz="4" w:space="0"/>
              <w:bottom w:val="single" w:color="auto" w:sz="4" w:space="0"/>
              <w:right w:val="single" w:color="auto" w:sz="4" w:space="0"/>
            </w:tcBorders>
          </w:tcPr>
          <w:p w14:paraId="75A5B80E">
            <w:pPr>
              <w:pStyle w:val="116"/>
              <w:rPr>
                <w:rFonts w:ascii="宋体" w:hAnsi="宋体"/>
                <w:b w:val="0"/>
              </w:rPr>
            </w:pPr>
          </w:p>
        </w:tc>
      </w:tr>
      <w:tr w14:paraId="739B7D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6" w:type="pct"/>
            <w:tcBorders>
              <w:top w:val="single" w:color="auto" w:sz="4" w:space="0"/>
              <w:left w:val="single" w:color="auto" w:sz="4" w:space="0"/>
              <w:bottom w:val="single" w:color="auto" w:sz="4" w:space="0"/>
              <w:right w:val="single" w:color="auto" w:sz="4" w:space="0"/>
            </w:tcBorders>
            <w:vAlign w:val="center"/>
          </w:tcPr>
          <w:p w14:paraId="1F8FA7D4">
            <w:pPr>
              <w:pStyle w:val="116"/>
              <w:rPr>
                <w:rFonts w:ascii="宋体" w:hAnsi="宋体"/>
                <w:b w:val="0"/>
              </w:rPr>
            </w:pPr>
            <w:r>
              <w:rPr>
                <w:rFonts w:hint="eastAsia" w:ascii="宋体" w:hAnsi="宋体"/>
                <w:b w:val="0"/>
              </w:rPr>
              <w:t>7</w:t>
            </w:r>
          </w:p>
        </w:tc>
        <w:tc>
          <w:tcPr>
            <w:tcW w:w="3086" w:type="pct"/>
            <w:tcBorders>
              <w:top w:val="single" w:color="auto" w:sz="4" w:space="0"/>
              <w:left w:val="single" w:color="auto" w:sz="4" w:space="0"/>
              <w:bottom w:val="single" w:color="auto" w:sz="4" w:space="0"/>
              <w:right w:val="single" w:color="auto" w:sz="4" w:space="0"/>
            </w:tcBorders>
          </w:tcPr>
          <w:p w14:paraId="78A9F2C1">
            <w:pPr>
              <w:pStyle w:val="8"/>
              <w:ind w:firstLine="0" w:firstLineChars="0"/>
              <w:rPr>
                <w:rFonts w:hAnsi="宋体"/>
                <w:b/>
              </w:rPr>
            </w:pPr>
            <w:r>
              <w:rPr>
                <w:rFonts w:hAnsi="宋体" w:cs="Arial"/>
                <w:sz w:val="21"/>
                <w:szCs w:val="21"/>
              </w:rPr>
              <w:t>在</w:t>
            </w:r>
            <w:r>
              <w:rPr>
                <w:rFonts w:hint="eastAsia" w:hAnsi="宋体" w:cs="Arial"/>
                <w:sz w:val="21"/>
                <w:szCs w:val="21"/>
              </w:rPr>
              <w:t>软件操作界面下的设计结构树上，点击某一</w:t>
            </w:r>
            <w:r>
              <w:rPr>
                <w:rFonts w:hAnsi="宋体" w:cs="Arial"/>
                <w:sz w:val="21"/>
                <w:szCs w:val="21"/>
              </w:rPr>
              <w:t>元器件可以快速定位到相应的原理图</w:t>
            </w:r>
            <w:r>
              <w:rPr>
                <w:rFonts w:hint="eastAsia" w:hAnsi="宋体" w:cs="Arial"/>
                <w:sz w:val="21"/>
                <w:szCs w:val="21"/>
              </w:rPr>
              <w:t>、线束图、钉板图</w:t>
            </w:r>
            <w:r>
              <w:rPr>
                <w:rFonts w:hAnsi="宋体" w:cs="Arial"/>
                <w:sz w:val="21"/>
                <w:szCs w:val="21"/>
              </w:rPr>
              <w:t>。</w:t>
            </w:r>
          </w:p>
        </w:tc>
        <w:tc>
          <w:tcPr>
            <w:tcW w:w="1238" w:type="pct"/>
            <w:tcBorders>
              <w:top w:val="single" w:color="auto" w:sz="4" w:space="0"/>
              <w:left w:val="single" w:color="auto" w:sz="4" w:space="0"/>
              <w:bottom w:val="single" w:color="auto" w:sz="4" w:space="0"/>
              <w:right w:val="single" w:color="auto" w:sz="4" w:space="0"/>
            </w:tcBorders>
          </w:tcPr>
          <w:p w14:paraId="68D38531">
            <w:pPr>
              <w:pStyle w:val="116"/>
              <w:rPr>
                <w:rFonts w:ascii="宋体" w:hAnsi="宋体"/>
                <w:b w:val="0"/>
              </w:rPr>
            </w:pPr>
          </w:p>
        </w:tc>
      </w:tr>
      <w:tr w14:paraId="209ACE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6" w:type="pct"/>
            <w:tcBorders>
              <w:top w:val="single" w:color="auto" w:sz="4" w:space="0"/>
              <w:left w:val="single" w:color="auto" w:sz="4" w:space="0"/>
              <w:bottom w:val="single" w:color="auto" w:sz="4" w:space="0"/>
              <w:right w:val="single" w:color="auto" w:sz="4" w:space="0"/>
            </w:tcBorders>
            <w:vAlign w:val="center"/>
          </w:tcPr>
          <w:p w14:paraId="6BC28E9C">
            <w:pPr>
              <w:pStyle w:val="116"/>
              <w:rPr>
                <w:rFonts w:ascii="宋体" w:hAnsi="宋体"/>
                <w:b w:val="0"/>
              </w:rPr>
            </w:pPr>
            <w:r>
              <w:rPr>
                <w:rFonts w:hint="eastAsia" w:ascii="宋体" w:hAnsi="宋体"/>
                <w:b w:val="0"/>
              </w:rPr>
              <w:t>8</w:t>
            </w:r>
          </w:p>
        </w:tc>
        <w:tc>
          <w:tcPr>
            <w:tcW w:w="3086" w:type="pct"/>
            <w:tcBorders>
              <w:top w:val="single" w:color="auto" w:sz="4" w:space="0"/>
              <w:left w:val="single" w:color="auto" w:sz="4" w:space="0"/>
              <w:bottom w:val="single" w:color="auto" w:sz="4" w:space="0"/>
              <w:right w:val="single" w:color="auto" w:sz="4" w:space="0"/>
            </w:tcBorders>
          </w:tcPr>
          <w:p w14:paraId="1B7E3B0B">
            <w:pPr>
              <w:pStyle w:val="8"/>
              <w:ind w:firstLine="0" w:firstLineChars="0"/>
              <w:rPr>
                <w:rFonts w:hAnsi="宋体"/>
                <w:b/>
              </w:rPr>
            </w:pPr>
            <w:r>
              <w:rPr>
                <w:rFonts w:hAnsi="宋体" w:cs="Arial"/>
                <w:sz w:val="21"/>
                <w:szCs w:val="21"/>
              </w:rPr>
              <w:t>查错功能。器件、端子、线号等能够自动编号；信息重复时应予以提示；原理图逻辑错误自动提示且提供纠错信息，以减少设计错误；对于简单的电路逻辑错误能够检查；在器件库搭建时可以定义各管脚或接线点的电位，设计人员在作图时，不同电位点之间不允许连接；此外，设计人员能够对不允许的连接方式进行自定义，系统就不合乎要求的连接给出错误提示或出具错误报表。</w:t>
            </w:r>
          </w:p>
        </w:tc>
        <w:tc>
          <w:tcPr>
            <w:tcW w:w="1238" w:type="pct"/>
            <w:tcBorders>
              <w:top w:val="single" w:color="auto" w:sz="4" w:space="0"/>
              <w:left w:val="single" w:color="auto" w:sz="4" w:space="0"/>
              <w:bottom w:val="single" w:color="auto" w:sz="4" w:space="0"/>
              <w:right w:val="single" w:color="auto" w:sz="4" w:space="0"/>
            </w:tcBorders>
          </w:tcPr>
          <w:p w14:paraId="3D34AD05">
            <w:pPr>
              <w:pStyle w:val="116"/>
              <w:rPr>
                <w:rFonts w:ascii="宋体" w:hAnsi="宋体"/>
                <w:b w:val="0"/>
              </w:rPr>
            </w:pPr>
          </w:p>
        </w:tc>
      </w:tr>
      <w:tr w14:paraId="36B207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6" w:type="pct"/>
            <w:tcBorders>
              <w:top w:val="single" w:color="auto" w:sz="4" w:space="0"/>
              <w:left w:val="single" w:color="auto" w:sz="4" w:space="0"/>
              <w:bottom w:val="single" w:color="auto" w:sz="4" w:space="0"/>
              <w:right w:val="single" w:color="auto" w:sz="4" w:space="0"/>
            </w:tcBorders>
            <w:vAlign w:val="center"/>
          </w:tcPr>
          <w:p w14:paraId="69CB12B9">
            <w:pPr>
              <w:pStyle w:val="116"/>
              <w:rPr>
                <w:rFonts w:ascii="宋体" w:hAnsi="宋体"/>
                <w:b w:val="0"/>
              </w:rPr>
            </w:pPr>
            <w:r>
              <w:rPr>
                <w:rFonts w:hint="eastAsia" w:ascii="宋体" w:hAnsi="宋体"/>
                <w:b w:val="0"/>
              </w:rPr>
              <w:t>9</w:t>
            </w:r>
          </w:p>
        </w:tc>
        <w:tc>
          <w:tcPr>
            <w:tcW w:w="3086" w:type="pct"/>
            <w:tcBorders>
              <w:top w:val="single" w:color="auto" w:sz="4" w:space="0"/>
              <w:left w:val="single" w:color="auto" w:sz="4" w:space="0"/>
              <w:bottom w:val="single" w:color="auto" w:sz="4" w:space="0"/>
              <w:right w:val="single" w:color="auto" w:sz="4" w:space="0"/>
            </w:tcBorders>
          </w:tcPr>
          <w:p w14:paraId="7BF24474">
            <w:pPr>
              <w:pStyle w:val="116"/>
              <w:jc w:val="left"/>
              <w:rPr>
                <w:rFonts w:ascii="宋体" w:hAnsi="宋体"/>
                <w:b w:val="0"/>
              </w:rPr>
            </w:pPr>
            <w:r>
              <w:rPr>
                <w:rFonts w:ascii="宋体" w:hAnsi="宋体" w:cs="Arial"/>
                <w:b w:val="0"/>
              </w:rPr>
              <w:t>能够在不对图纸进行任何操作的情况下，直接修改项目中所有器件的相关信息，图纸中的相关信息自动更新。</w:t>
            </w:r>
          </w:p>
        </w:tc>
        <w:tc>
          <w:tcPr>
            <w:tcW w:w="1238" w:type="pct"/>
            <w:tcBorders>
              <w:top w:val="single" w:color="auto" w:sz="4" w:space="0"/>
              <w:left w:val="single" w:color="auto" w:sz="4" w:space="0"/>
              <w:bottom w:val="single" w:color="auto" w:sz="4" w:space="0"/>
              <w:right w:val="single" w:color="auto" w:sz="4" w:space="0"/>
            </w:tcBorders>
          </w:tcPr>
          <w:p w14:paraId="68767DC6">
            <w:pPr>
              <w:pStyle w:val="116"/>
              <w:rPr>
                <w:rFonts w:ascii="宋体" w:hAnsi="宋体"/>
                <w:b w:val="0"/>
              </w:rPr>
            </w:pPr>
          </w:p>
        </w:tc>
      </w:tr>
      <w:tr w14:paraId="4194E3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6" w:type="pct"/>
            <w:tcBorders>
              <w:top w:val="single" w:color="auto" w:sz="4" w:space="0"/>
              <w:left w:val="single" w:color="auto" w:sz="4" w:space="0"/>
              <w:bottom w:val="single" w:color="auto" w:sz="4" w:space="0"/>
              <w:right w:val="single" w:color="auto" w:sz="4" w:space="0"/>
            </w:tcBorders>
            <w:vAlign w:val="center"/>
          </w:tcPr>
          <w:p w14:paraId="658BD340">
            <w:pPr>
              <w:pStyle w:val="116"/>
              <w:rPr>
                <w:rFonts w:ascii="宋体" w:hAnsi="宋体"/>
                <w:b w:val="0"/>
              </w:rPr>
            </w:pPr>
            <w:r>
              <w:rPr>
                <w:rFonts w:hint="eastAsia" w:ascii="宋体" w:hAnsi="宋体"/>
                <w:b w:val="0"/>
              </w:rPr>
              <w:t>10</w:t>
            </w:r>
          </w:p>
        </w:tc>
        <w:tc>
          <w:tcPr>
            <w:tcW w:w="3086" w:type="pct"/>
            <w:tcBorders>
              <w:top w:val="single" w:color="auto" w:sz="4" w:space="0"/>
              <w:left w:val="single" w:color="auto" w:sz="4" w:space="0"/>
              <w:bottom w:val="single" w:color="auto" w:sz="4" w:space="0"/>
              <w:right w:val="single" w:color="auto" w:sz="4" w:space="0"/>
            </w:tcBorders>
          </w:tcPr>
          <w:p w14:paraId="2DF9B87C">
            <w:pPr>
              <w:pStyle w:val="8"/>
              <w:ind w:firstLine="0" w:firstLineChars="0"/>
              <w:rPr>
                <w:rFonts w:hAnsi="宋体"/>
                <w:b/>
              </w:rPr>
            </w:pPr>
            <w:r>
              <w:rPr>
                <w:rFonts w:hAnsi="宋体" w:cs="Arial"/>
                <w:sz w:val="21"/>
                <w:szCs w:val="21"/>
              </w:rPr>
              <w:t>支持多国语言和字符（双字节文字），有中文版。中文版的操作界面，可灵活选择编辑语言，也可自动同时显示多种语言，并可以直接自行添加新的词条；有灵活的多语言字典功能，可以使图纸以不同的单一语言或语言对照的方式生成，并可以灵活替换；字符串长度不同时，图纸能依照标准化定义的原则自动调整器件间距，确保表达清晰、引用无误。</w:t>
            </w:r>
          </w:p>
        </w:tc>
        <w:tc>
          <w:tcPr>
            <w:tcW w:w="1238" w:type="pct"/>
            <w:tcBorders>
              <w:top w:val="single" w:color="auto" w:sz="4" w:space="0"/>
              <w:left w:val="single" w:color="auto" w:sz="4" w:space="0"/>
              <w:bottom w:val="single" w:color="auto" w:sz="4" w:space="0"/>
              <w:right w:val="single" w:color="auto" w:sz="4" w:space="0"/>
            </w:tcBorders>
          </w:tcPr>
          <w:p w14:paraId="45DDF792">
            <w:pPr>
              <w:pStyle w:val="116"/>
              <w:rPr>
                <w:rFonts w:ascii="宋体" w:hAnsi="宋体"/>
                <w:b w:val="0"/>
              </w:rPr>
            </w:pPr>
          </w:p>
        </w:tc>
      </w:tr>
      <w:tr w14:paraId="5C08A2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6" w:type="pct"/>
            <w:tcBorders>
              <w:top w:val="single" w:color="auto" w:sz="4" w:space="0"/>
              <w:left w:val="single" w:color="auto" w:sz="4" w:space="0"/>
              <w:bottom w:val="single" w:color="auto" w:sz="4" w:space="0"/>
              <w:right w:val="single" w:color="auto" w:sz="4" w:space="0"/>
            </w:tcBorders>
            <w:vAlign w:val="center"/>
          </w:tcPr>
          <w:p w14:paraId="3E600740">
            <w:pPr>
              <w:pStyle w:val="116"/>
              <w:rPr>
                <w:rFonts w:ascii="宋体" w:hAnsi="宋体"/>
                <w:b w:val="0"/>
              </w:rPr>
            </w:pPr>
            <w:r>
              <w:rPr>
                <w:rFonts w:hint="eastAsia" w:ascii="宋体" w:hAnsi="宋体"/>
                <w:b w:val="0"/>
              </w:rPr>
              <w:t>11</w:t>
            </w:r>
          </w:p>
        </w:tc>
        <w:tc>
          <w:tcPr>
            <w:tcW w:w="3086" w:type="pct"/>
            <w:tcBorders>
              <w:top w:val="single" w:color="auto" w:sz="4" w:space="0"/>
              <w:left w:val="single" w:color="auto" w:sz="4" w:space="0"/>
              <w:bottom w:val="single" w:color="auto" w:sz="4" w:space="0"/>
              <w:right w:val="single" w:color="auto" w:sz="4" w:space="0"/>
            </w:tcBorders>
          </w:tcPr>
          <w:p w14:paraId="3C273263">
            <w:pPr>
              <w:pStyle w:val="8"/>
              <w:ind w:firstLine="0" w:firstLineChars="0"/>
              <w:rPr>
                <w:rFonts w:hAnsi="宋体" w:cs="Arial"/>
                <w:sz w:val="21"/>
                <w:szCs w:val="21"/>
              </w:rPr>
            </w:pPr>
            <w:r>
              <w:rPr>
                <w:rFonts w:hAnsi="宋体" w:cs="Arial"/>
                <w:sz w:val="21"/>
                <w:szCs w:val="21"/>
              </w:rPr>
              <w:t>支持项目组协同工作，设计信息的实时共享与并行设计的有效性管理，具备版本管理</w:t>
            </w:r>
            <w:r>
              <w:rPr>
                <w:rFonts w:hint="eastAsia" w:hAnsi="宋体" w:cs="Arial"/>
                <w:sz w:val="21"/>
                <w:szCs w:val="21"/>
              </w:rPr>
              <w:t>功能</w:t>
            </w:r>
            <w:r>
              <w:rPr>
                <w:rFonts w:hAnsi="宋体" w:cs="Arial"/>
                <w:sz w:val="21"/>
                <w:szCs w:val="21"/>
              </w:rPr>
              <w:t>。</w:t>
            </w:r>
          </w:p>
        </w:tc>
        <w:tc>
          <w:tcPr>
            <w:tcW w:w="1238" w:type="pct"/>
            <w:tcBorders>
              <w:top w:val="single" w:color="auto" w:sz="4" w:space="0"/>
              <w:left w:val="single" w:color="auto" w:sz="4" w:space="0"/>
              <w:bottom w:val="single" w:color="auto" w:sz="4" w:space="0"/>
              <w:right w:val="single" w:color="auto" w:sz="4" w:space="0"/>
            </w:tcBorders>
          </w:tcPr>
          <w:p w14:paraId="48023C85">
            <w:pPr>
              <w:pStyle w:val="116"/>
              <w:rPr>
                <w:rFonts w:ascii="宋体" w:hAnsi="宋体"/>
                <w:b w:val="0"/>
              </w:rPr>
            </w:pPr>
          </w:p>
        </w:tc>
      </w:tr>
      <w:tr w14:paraId="3396AC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6" w:type="pct"/>
            <w:tcBorders>
              <w:top w:val="single" w:color="auto" w:sz="4" w:space="0"/>
              <w:left w:val="single" w:color="auto" w:sz="4" w:space="0"/>
              <w:bottom w:val="single" w:color="auto" w:sz="4" w:space="0"/>
              <w:right w:val="single" w:color="auto" w:sz="4" w:space="0"/>
            </w:tcBorders>
            <w:vAlign w:val="center"/>
          </w:tcPr>
          <w:p w14:paraId="1A53BB2A">
            <w:pPr>
              <w:pStyle w:val="116"/>
              <w:rPr>
                <w:rFonts w:ascii="宋体" w:hAnsi="宋体"/>
                <w:b w:val="0"/>
              </w:rPr>
            </w:pPr>
            <w:r>
              <w:rPr>
                <w:rFonts w:hint="eastAsia" w:ascii="宋体" w:hAnsi="宋体"/>
                <w:b w:val="0"/>
              </w:rPr>
              <w:t>12</w:t>
            </w:r>
          </w:p>
        </w:tc>
        <w:tc>
          <w:tcPr>
            <w:tcW w:w="3086" w:type="pct"/>
            <w:tcBorders>
              <w:top w:val="single" w:color="auto" w:sz="4" w:space="0"/>
              <w:left w:val="single" w:color="auto" w:sz="4" w:space="0"/>
              <w:bottom w:val="single" w:color="auto" w:sz="4" w:space="0"/>
              <w:right w:val="single" w:color="auto" w:sz="4" w:space="0"/>
            </w:tcBorders>
          </w:tcPr>
          <w:p w14:paraId="17B39468">
            <w:pPr>
              <w:pStyle w:val="8"/>
              <w:ind w:firstLine="0" w:firstLineChars="0"/>
              <w:rPr>
                <w:rFonts w:hAnsi="宋体" w:cs="Arial"/>
                <w:sz w:val="21"/>
                <w:szCs w:val="21"/>
              </w:rPr>
            </w:pPr>
            <w:r>
              <w:rPr>
                <w:rFonts w:hint="eastAsia" w:hAnsi="宋体" w:cs="Arial"/>
                <w:sz w:val="21"/>
                <w:szCs w:val="21"/>
              </w:rPr>
              <w:t>“三维布线软件”要与CATIA “</w:t>
            </w:r>
            <w:r>
              <w:rPr>
                <w:rFonts w:hAnsi="宋体" w:cs="Arial"/>
                <w:sz w:val="21"/>
                <w:szCs w:val="21"/>
              </w:rPr>
              <w:t>V5</w:t>
            </w:r>
            <w:r>
              <w:rPr>
                <w:rFonts w:hint="eastAsia" w:hAnsi="宋体" w:cs="Arial"/>
                <w:sz w:val="21"/>
                <w:szCs w:val="21"/>
              </w:rPr>
              <w:t xml:space="preserve"> </w:t>
            </w:r>
            <w:r>
              <w:rPr>
                <w:rFonts w:hAnsi="宋体" w:cs="Arial"/>
                <w:sz w:val="21"/>
                <w:szCs w:val="21"/>
              </w:rPr>
              <w:t>R19 SP6</w:t>
            </w:r>
            <w:r>
              <w:rPr>
                <w:rFonts w:hint="eastAsia" w:hAnsi="宋体" w:cs="Arial"/>
                <w:sz w:val="21"/>
                <w:szCs w:val="21"/>
              </w:rPr>
              <w:t>”版本有的集成接口。基于CATIA软件数字模型完整，元器件库齐全并且命名跟“三维布线软件”相匹配，在“三维布线软件”完成原理图和线束图设计后，将“三维布线软件”的接线关系导入CATIA中，在CATIA环境中定义空间路由并计算线束线缆长度后展平导回“三维布线软件”</w:t>
            </w:r>
          </w:p>
        </w:tc>
        <w:tc>
          <w:tcPr>
            <w:tcW w:w="1238" w:type="pct"/>
            <w:tcBorders>
              <w:top w:val="single" w:color="auto" w:sz="4" w:space="0"/>
              <w:left w:val="single" w:color="auto" w:sz="4" w:space="0"/>
              <w:bottom w:val="single" w:color="auto" w:sz="4" w:space="0"/>
              <w:right w:val="single" w:color="auto" w:sz="4" w:space="0"/>
            </w:tcBorders>
          </w:tcPr>
          <w:p w14:paraId="57C99BAB">
            <w:pPr>
              <w:pStyle w:val="116"/>
              <w:rPr>
                <w:rFonts w:ascii="宋体" w:hAnsi="宋体"/>
                <w:b w:val="0"/>
              </w:rPr>
            </w:pPr>
          </w:p>
        </w:tc>
      </w:tr>
      <w:tr w14:paraId="279D77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6" w:type="pct"/>
            <w:tcBorders>
              <w:top w:val="single" w:color="auto" w:sz="4" w:space="0"/>
              <w:left w:val="single" w:color="auto" w:sz="4" w:space="0"/>
              <w:bottom w:val="single" w:color="auto" w:sz="4" w:space="0"/>
              <w:right w:val="single" w:color="auto" w:sz="4" w:space="0"/>
            </w:tcBorders>
            <w:vAlign w:val="center"/>
          </w:tcPr>
          <w:p w14:paraId="5C7577C1">
            <w:pPr>
              <w:pStyle w:val="116"/>
              <w:rPr>
                <w:rFonts w:ascii="宋体" w:hAnsi="宋体"/>
                <w:b w:val="0"/>
              </w:rPr>
            </w:pPr>
            <w:r>
              <w:rPr>
                <w:rFonts w:hint="eastAsia" w:ascii="宋体" w:hAnsi="宋体"/>
                <w:b w:val="0"/>
              </w:rPr>
              <w:t>13</w:t>
            </w:r>
          </w:p>
        </w:tc>
        <w:tc>
          <w:tcPr>
            <w:tcW w:w="3086" w:type="pct"/>
            <w:tcBorders>
              <w:top w:val="single" w:color="auto" w:sz="4" w:space="0"/>
              <w:left w:val="single" w:color="auto" w:sz="4" w:space="0"/>
              <w:bottom w:val="single" w:color="auto" w:sz="4" w:space="0"/>
              <w:right w:val="single" w:color="auto" w:sz="4" w:space="0"/>
            </w:tcBorders>
          </w:tcPr>
          <w:p w14:paraId="10E3BE55">
            <w:pPr>
              <w:pStyle w:val="8"/>
              <w:ind w:firstLine="0" w:firstLineChars="0"/>
              <w:rPr>
                <w:rFonts w:hAnsi="宋体" w:cs="Arial"/>
                <w:sz w:val="21"/>
                <w:szCs w:val="21"/>
              </w:rPr>
            </w:pPr>
            <w:r>
              <w:rPr>
                <w:rFonts w:ascii="Arial" w:hAnsi="Arial" w:cs="Arial"/>
                <w:sz w:val="21"/>
                <w:szCs w:val="21"/>
              </w:rPr>
              <w:t>提供完全开放的、通用的、免费的二次开发环境。二次开发使用的编程语言、数据管理平台具有通用性、开放性、易用性。</w:t>
            </w:r>
          </w:p>
        </w:tc>
        <w:tc>
          <w:tcPr>
            <w:tcW w:w="1238" w:type="pct"/>
            <w:tcBorders>
              <w:top w:val="single" w:color="auto" w:sz="4" w:space="0"/>
              <w:left w:val="single" w:color="auto" w:sz="4" w:space="0"/>
              <w:bottom w:val="single" w:color="auto" w:sz="4" w:space="0"/>
              <w:right w:val="single" w:color="auto" w:sz="4" w:space="0"/>
            </w:tcBorders>
          </w:tcPr>
          <w:p w14:paraId="3444BE45">
            <w:pPr>
              <w:pStyle w:val="116"/>
              <w:rPr>
                <w:rFonts w:ascii="宋体" w:hAnsi="宋体"/>
                <w:b w:val="0"/>
              </w:rPr>
            </w:pPr>
          </w:p>
        </w:tc>
      </w:tr>
      <w:tr w14:paraId="69562E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6" w:type="pct"/>
            <w:tcBorders>
              <w:top w:val="single" w:color="auto" w:sz="4" w:space="0"/>
              <w:left w:val="single" w:color="auto" w:sz="4" w:space="0"/>
              <w:bottom w:val="single" w:color="auto" w:sz="4" w:space="0"/>
              <w:right w:val="single" w:color="auto" w:sz="4" w:space="0"/>
            </w:tcBorders>
            <w:vAlign w:val="center"/>
          </w:tcPr>
          <w:p w14:paraId="2713C1ED">
            <w:pPr>
              <w:pStyle w:val="116"/>
              <w:rPr>
                <w:rFonts w:ascii="宋体" w:hAnsi="宋体"/>
                <w:b w:val="0"/>
              </w:rPr>
            </w:pPr>
            <w:r>
              <w:rPr>
                <w:rFonts w:hint="eastAsia" w:ascii="宋体" w:hAnsi="宋体"/>
                <w:b w:val="0"/>
              </w:rPr>
              <w:t>14</w:t>
            </w:r>
          </w:p>
        </w:tc>
        <w:tc>
          <w:tcPr>
            <w:tcW w:w="3086" w:type="pct"/>
            <w:tcBorders>
              <w:top w:val="single" w:color="auto" w:sz="4" w:space="0"/>
              <w:left w:val="single" w:color="auto" w:sz="4" w:space="0"/>
              <w:bottom w:val="single" w:color="auto" w:sz="4" w:space="0"/>
              <w:right w:val="single" w:color="auto" w:sz="4" w:space="0"/>
            </w:tcBorders>
          </w:tcPr>
          <w:p w14:paraId="3BE83F77">
            <w:pPr>
              <w:pStyle w:val="8"/>
              <w:ind w:firstLine="0" w:firstLineChars="0"/>
              <w:rPr>
                <w:rFonts w:hAnsi="宋体" w:cs="Arial"/>
                <w:sz w:val="21"/>
                <w:szCs w:val="21"/>
              </w:rPr>
            </w:pPr>
            <w:r>
              <w:rPr>
                <w:rFonts w:hint="eastAsia" w:hAnsi="宋体" w:cs="Arial"/>
                <w:sz w:val="21"/>
                <w:szCs w:val="21"/>
              </w:rPr>
              <w:t>预留三维布线软件与PLM/SAP等管理系统的集成接口；技术团队有相应实施经验。</w:t>
            </w:r>
          </w:p>
        </w:tc>
        <w:tc>
          <w:tcPr>
            <w:tcW w:w="1238" w:type="pct"/>
            <w:tcBorders>
              <w:top w:val="single" w:color="auto" w:sz="4" w:space="0"/>
              <w:left w:val="single" w:color="auto" w:sz="4" w:space="0"/>
              <w:bottom w:val="single" w:color="auto" w:sz="4" w:space="0"/>
              <w:right w:val="single" w:color="auto" w:sz="4" w:space="0"/>
            </w:tcBorders>
          </w:tcPr>
          <w:p w14:paraId="0F8ED609">
            <w:pPr>
              <w:pStyle w:val="116"/>
              <w:rPr>
                <w:rFonts w:ascii="宋体" w:hAnsi="宋体"/>
                <w:b w:val="0"/>
              </w:rPr>
            </w:pPr>
          </w:p>
        </w:tc>
      </w:tr>
      <w:tr w14:paraId="7F8A04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6" w:type="pct"/>
            <w:tcBorders>
              <w:top w:val="single" w:color="auto" w:sz="4" w:space="0"/>
              <w:left w:val="single" w:color="auto" w:sz="4" w:space="0"/>
              <w:bottom w:val="single" w:color="auto" w:sz="4" w:space="0"/>
              <w:right w:val="single" w:color="auto" w:sz="4" w:space="0"/>
            </w:tcBorders>
            <w:vAlign w:val="center"/>
          </w:tcPr>
          <w:p w14:paraId="30ABE441">
            <w:pPr>
              <w:pStyle w:val="116"/>
              <w:rPr>
                <w:rFonts w:ascii="宋体" w:hAnsi="宋体"/>
                <w:b w:val="0"/>
              </w:rPr>
            </w:pPr>
            <w:r>
              <w:rPr>
                <w:rFonts w:hint="eastAsia" w:ascii="宋体" w:hAnsi="宋体"/>
                <w:b w:val="0"/>
              </w:rPr>
              <w:t>15</w:t>
            </w:r>
          </w:p>
        </w:tc>
        <w:tc>
          <w:tcPr>
            <w:tcW w:w="3086" w:type="pct"/>
            <w:tcBorders>
              <w:top w:val="single" w:color="auto" w:sz="4" w:space="0"/>
              <w:left w:val="single" w:color="auto" w:sz="4" w:space="0"/>
              <w:bottom w:val="single" w:color="auto" w:sz="4" w:space="0"/>
              <w:right w:val="single" w:color="auto" w:sz="4" w:space="0"/>
            </w:tcBorders>
          </w:tcPr>
          <w:p w14:paraId="2814A506">
            <w:pPr>
              <w:pStyle w:val="8"/>
              <w:ind w:firstLine="0" w:firstLineChars="0"/>
              <w:rPr>
                <w:rFonts w:hAnsi="宋体" w:cs="Arial"/>
                <w:sz w:val="21"/>
                <w:szCs w:val="21"/>
              </w:rPr>
            </w:pPr>
            <w:r>
              <w:rPr>
                <w:rFonts w:hint="eastAsia" w:hAnsi="宋体" w:cs="Arial"/>
                <w:sz w:val="21"/>
                <w:szCs w:val="21"/>
              </w:rPr>
              <w:t>License</w:t>
            </w:r>
            <w:r>
              <w:rPr>
                <w:rFonts w:hAnsi="宋体" w:cs="Arial"/>
                <w:sz w:val="21"/>
                <w:szCs w:val="21"/>
              </w:rPr>
              <w:t>必须是网络浮动</w:t>
            </w:r>
            <w:r>
              <w:rPr>
                <w:rFonts w:hint="eastAsia" w:hAnsi="宋体" w:cs="Arial"/>
                <w:sz w:val="21"/>
                <w:szCs w:val="21"/>
              </w:rPr>
              <w:t>授权方式</w:t>
            </w:r>
            <w:r>
              <w:rPr>
                <w:rFonts w:hAnsi="宋体" w:cs="Arial"/>
                <w:sz w:val="21"/>
                <w:szCs w:val="21"/>
              </w:rPr>
              <w:t>。</w:t>
            </w:r>
          </w:p>
        </w:tc>
        <w:tc>
          <w:tcPr>
            <w:tcW w:w="1238" w:type="pct"/>
            <w:tcBorders>
              <w:top w:val="single" w:color="auto" w:sz="4" w:space="0"/>
              <w:left w:val="single" w:color="auto" w:sz="4" w:space="0"/>
              <w:bottom w:val="single" w:color="auto" w:sz="4" w:space="0"/>
              <w:right w:val="single" w:color="auto" w:sz="4" w:space="0"/>
            </w:tcBorders>
          </w:tcPr>
          <w:p w14:paraId="4FB4B9C7">
            <w:pPr>
              <w:pStyle w:val="116"/>
              <w:rPr>
                <w:rFonts w:ascii="宋体" w:hAnsi="宋体"/>
                <w:b w:val="0"/>
              </w:rPr>
            </w:pPr>
          </w:p>
        </w:tc>
      </w:tr>
      <w:tr w14:paraId="44EEF0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6" w:type="pct"/>
            <w:tcBorders>
              <w:top w:val="single" w:color="auto" w:sz="4" w:space="0"/>
              <w:left w:val="single" w:color="auto" w:sz="4" w:space="0"/>
              <w:bottom w:val="single" w:color="auto" w:sz="4" w:space="0"/>
              <w:right w:val="single" w:color="auto" w:sz="4" w:space="0"/>
            </w:tcBorders>
            <w:vAlign w:val="center"/>
          </w:tcPr>
          <w:p w14:paraId="6A6B6A01">
            <w:pPr>
              <w:pStyle w:val="116"/>
              <w:rPr>
                <w:rFonts w:ascii="宋体" w:hAnsi="宋体"/>
                <w:b w:val="0"/>
              </w:rPr>
            </w:pPr>
          </w:p>
        </w:tc>
        <w:tc>
          <w:tcPr>
            <w:tcW w:w="3086" w:type="pct"/>
            <w:tcBorders>
              <w:top w:val="single" w:color="auto" w:sz="4" w:space="0"/>
              <w:left w:val="single" w:color="auto" w:sz="4" w:space="0"/>
              <w:bottom w:val="single" w:color="auto" w:sz="4" w:space="0"/>
              <w:right w:val="single" w:color="auto" w:sz="4" w:space="0"/>
            </w:tcBorders>
          </w:tcPr>
          <w:p w14:paraId="4AEF73C3">
            <w:pPr>
              <w:pStyle w:val="8"/>
              <w:ind w:firstLine="0" w:firstLineChars="0"/>
              <w:rPr>
                <w:rFonts w:hAnsi="宋体" w:cs="Arial"/>
                <w:sz w:val="21"/>
                <w:szCs w:val="21"/>
              </w:rPr>
            </w:pPr>
          </w:p>
        </w:tc>
        <w:tc>
          <w:tcPr>
            <w:tcW w:w="1238" w:type="pct"/>
            <w:tcBorders>
              <w:top w:val="single" w:color="auto" w:sz="4" w:space="0"/>
              <w:left w:val="single" w:color="auto" w:sz="4" w:space="0"/>
              <w:bottom w:val="single" w:color="auto" w:sz="4" w:space="0"/>
              <w:right w:val="single" w:color="auto" w:sz="4" w:space="0"/>
            </w:tcBorders>
          </w:tcPr>
          <w:p w14:paraId="46D43AD6">
            <w:pPr>
              <w:pStyle w:val="116"/>
              <w:rPr>
                <w:rFonts w:ascii="宋体" w:hAnsi="宋体"/>
                <w:b w:val="0"/>
              </w:rPr>
            </w:pPr>
          </w:p>
        </w:tc>
      </w:tr>
    </w:tbl>
    <w:p w14:paraId="3580364F">
      <w:pPr>
        <w:pStyle w:val="121"/>
        <w:rPr>
          <w:rFonts w:ascii="黑体" w:hAnsi="黑体"/>
          <w:sz w:val="21"/>
          <w:szCs w:val="21"/>
        </w:rPr>
      </w:pPr>
      <w:r>
        <w:rPr>
          <w:rFonts w:hint="eastAsia" w:ascii="黑体" w:hAnsi="黑体"/>
          <w:sz w:val="21"/>
          <w:szCs w:val="21"/>
        </w:rPr>
        <w:t>四、执行标准</w:t>
      </w:r>
    </w:p>
    <w:p w14:paraId="3A4C1E2B">
      <w:pPr>
        <w:spacing w:line="360" w:lineRule="auto"/>
        <w:ind w:firstLine="420" w:firstLineChars="200"/>
        <w:rPr>
          <w:rFonts w:ascii="宋体" w:hAnsi="宋体"/>
          <w:color w:val="000000"/>
        </w:rPr>
      </w:pPr>
      <w:r>
        <w:rPr>
          <w:rFonts w:hint="eastAsia" w:ascii="宋体" w:hAnsi="宋体"/>
          <w:color w:val="000000"/>
        </w:rPr>
        <w:t>1、招标方此处所列标准仅为涉及的主要标准，而且不保证其为最新版执行标准；投标方应当在投标文件中认真予以填写、补充和修改完善。</w:t>
      </w:r>
    </w:p>
    <w:p w14:paraId="4D879743">
      <w:pPr>
        <w:spacing w:line="360" w:lineRule="auto"/>
        <w:ind w:firstLine="420" w:firstLineChars="200"/>
        <w:rPr>
          <w:rFonts w:ascii="宋体" w:hAnsi="宋体"/>
          <w:color w:val="000000"/>
        </w:rPr>
      </w:pPr>
      <w:r>
        <w:rPr>
          <w:rFonts w:hint="eastAsia" w:ascii="宋体" w:hAnsi="宋体"/>
          <w:color w:val="000000"/>
        </w:rPr>
        <w:t>2、投标方需要执行的标准，应当采用所供</w:t>
      </w:r>
      <w:r>
        <w:rPr>
          <w:rFonts w:hint="eastAsia" w:ascii="宋体" w:hAnsi="宋体"/>
          <w:color w:val="FF0000"/>
        </w:rPr>
        <w:t>软件</w:t>
      </w:r>
      <w:r>
        <w:rPr>
          <w:rFonts w:hint="eastAsia" w:ascii="宋体" w:hAnsi="宋体"/>
          <w:color w:val="000000"/>
        </w:rPr>
        <w:t>通过买方组织的最终验收之日已经开始执行的最新标准。</w:t>
      </w:r>
    </w:p>
    <w:p w14:paraId="78717203">
      <w:pPr>
        <w:spacing w:line="360" w:lineRule="auto"/>
        <w:ind w:firstLine="420" w:firstLineChars="200"/>
        <w:rPr>
          <w:rFonts w:ascii="宋体" w:hAnsi="宋体"/>
          <w:color w:val="000000"/>
        </w:rPr>
      </w:pPr>
      <w:r>
        <w:rPr>
          <w:rFonts w:hint="eastAsia" w:ascii="宋体" w:hAnsi="宋体"/>
          <w:color w:val="000000"/>
        </w:rPr>
        <w:t>3、采购</w:t>
      </w:r>
      <w:r>
        <w:rPr>
          <w:rFonts w:hint="eastAsia" w:ascii="宋体" w:hAnsi="宋体"/>
          <w:color w:val="FF0000"/>
        </w:rPr>
        <w:t>软件</w:t>
      </w:r>
      <w:r>
        <w:rPr>
          <w:rFonts w:hint="eastAsia" w:ascii="宋体" w:hAnsi="宋体"/>
          <w:color w:val="000000"/>
        </w:rPr>
        <w:t>的技术标准等如在招投标文件中无相应说明，则按中华人民共和国有关部门颁发的最新的国标或专业（部）标准执行及相应的国际标准。</w:t>
      </w:r>
    </w:p>
    <w:p w14:paraId="5D9FA414">
      <w:pPr>
        <w:spacing w:line="360" w:lineRule="auto"/>
        <w:ind w:firstLine="420" w:firstLineChars="200"/>
        <w:rPr>
          <w:rFonts w:ascii="宋体" w:hAnsi="宋体"/>
          <w:color w:val="000000"/>
        </w:rPr>
      </w:pPr>
      <w:r>
        <w:rPr>
          <w:rFonts w:hint="eastAsia" w:ascii="宋体" w:hAnsi="宋体"/>
          <w:color w:val="000000"/>
        </w:rPr>
        <w:t>4、采购</w:t>
      </w:r>
      <w:r>
        <w:rPr>
          <w:rFonts w:hint="eastAsia" w:ascii="宋体" w:hAnsi="宋体"/>
          <w:color w:val="FF0000"/>
        </w:rPr>
        <w:t>软件</w:t>
      </w:r>
      <w:r>
        <w:rPr>
          <w:rFonts w:hint="eastAsia" w:ascii="宋体" w:hAnsi="宋体"/>
          <w:color w:val="000000"/>
        </w:rPr>
        <w:t>没有国家或专业（部）标准的，按企业标准执行时，卖方应在合同签署之前，将所涉及的企业标准提供给买方确认。</w:t>
      </w:r>
    </w:p>
    <w:p w14:paraId="7E0DE471">
      <w:pPr>
        <w:spacing w:line="360" w:lineRule="auto"/>
        <w:ind w:firstLine="420" w:firstLineChars="200"/>
        <w:rPr>
          <w:rFonts w:ascii="宋体" w:hAnsi="宋体"/>
          <w:color w:val="000000"/>
        </w:rPr>
      </w:pPr>
      <w:r>
        <w:rPr>
          <w:rFonts w:hint="eastAsia" w:ascii="宋体" w:hAnsi="宋体"/>
          <w:color w:val="000000"/>
        </w:rPr>
        <w:t>5、采购</w:t>
      </w:r>
      <w:r>
        <w:rPr>
          <w:rFonts w:hint="eastAsia" w:ascii="宋体" w:hAnsi="宋体"/>
          <w:color w:val="FF0000"/>
        </w:rPr>
        <w:t>软件</w:t>
      </w:r>
      <w:r>
        <w:rPr>
          <w:rFonts w:hint="eastAsia" w:ascii="宋体" w:hAnsi="宋体"/>
          <w:color w:val="000000"/>
        </w:rPr>
        <w:t>如果采用国际标准，其执行标准由投标方提供、招标方确认。</w:t>
      </w:r>
    </w:p>
    <w:p w14:paraId="5F2022D9">
      <w:pPr>
        <w:spacing w:line="360" w:lineRule="auto"/>
        <w:ind w:firstLine="420" w:firstLineChars="200"/>
        <w:rPr>
          <w:rFonts w:ascii="宋体" w:hAnsi="宋体"/>
          <w:color w:val="000000"/>
        </w:rPr>
      </w:pPr>
      <w:r>
        <w:rPr>
          <w:rFonts w:hint="eastAsia" w:ascii="宋体" w:hAnsi="宋体"/>
          <w:color w:val="000000"/>
        </w:rPr>
        <w:t>6、采购</w:t>
      </w:r>
      <w:r>
        <w:rPr>
          <w:rFonts w:hint="eastAsia" w:ascii="宋体" w:hAnsi="宋体"/>
          <w:color w:val="FF0000"/>
        </w:rPr>
        <w:t>软件</w:t>
      </w:r>
      <w:r>
        <w:rPr>
          <w:rFonts w:hint="eastAsia" w:ascii="宋体" w:hAnsi="宋体"/>
          <w:color w:val="000000"/>
        </w:rPr>
        <w:t>所涉及的标准不统一时，原则上按照最严格标准执行。</w:t>
      </w:r>
    </w:p>
    <w:p w14:paraId="2F83F001">
      <w:pPr>
        <w:spacing w:line="360" w:lineRule="auto"/>
        <w:ind w:firstLine="420" w:firstLineChars="200"/>
        <w:rPr>
          <w:rFonts w:ascii="宋体" w:hAnsi="宋体"/>
          <w:color w:val="000000"/>
        </w:rPr>
      </w:pPr>
      <w:r>
        <w:rPr>
          <w:rFonts w:hint="eastAsia" w:ascii="宋体" w:hAnsi="宋体"/>
          <w:color w:val="000000"/>
        </w:rPr>
        <w:t>7、涉及的主要标准表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675"/>
        <w:gridCol w:w="3402"/>
        <w:gridCol w:w="1098"/>
      </w:tblGrid>
      <w:tr w14:paraId="769EE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vAlign w:val="center"/>
          </w:tcPr>
          <w:p w14:paraId="5F81CC8F">
            <w:pPr>
              <w:spacing w:line="360" w:lineRule="auto"/>
              <w:jc w:val="center"/>
              <w:rPr>
                <w:rFonts w:ascii="宋体" w:hAnsi="宋体"/>
                <w:b/>
                <w:color w:val="000000"/>
              </w:rPr>
            </w:pPr>
            <w:r>
              <w:rPr>
                <w:rFonts w:hint="eastAsia" w:ascii="宋体" w:hAnsi="宋体"/>
                <w:b/>
                <w:color w:val="000000"/>
              </w:rPr>
              <w:t>序号</w:t>
            </w:r>
          </w:p>
        </w:tc>
        <w:tc>
          <w:tcPr>
            <w:tcW w:w="3675" w:type="dxa"/>
            <w:vAlign w:val="center"/>
          </w:tcPr>
          <w:p w14:paraId="3B52054E">
            <w:pPr>
              <w:spacing w:line="360" w:lineRule="auto"/>
              <w:jc w:val="center"/>
              <w:rPr>
                <w:rFonts w:ascii="宋体" w:hAnsi="宋体"/>
                <w:b/>
                <w:color w:val="000000"/>
              </w:rPr>
            </w:pPr>
            <w:r>
              <w:rPr>
                <w:rFonts w:hint="eastAsia" w:ascii="宋体" w:hAnsi="宋体"/>
                <w:b/>
                <w:color w:val="000000"/>
              </w:rPr>
              <w:t>标准名称</w:t>
            </w:r>
          </w:p>
        </w:tc>
        <w:tc>
          <w:tcPr>
            <w:tcW w:w="3402" w:type="dxa"/>
            <w:vAlign w:val="center"/>
          </w:tcPr>
          <w:p w14:paraId="22A6C8AB">
            <w:pPr>
              <w:spacing w:line="360" w:lineRule="auto"/>
              <w:jc w:val="center"/>
              <w:rPr>
                <w:rFonts w:ascii="宋体" w:hAnsi="宋体"/>
                <w:b/>
                <w:color w:val="000000"/>
              </w:rPr>
            </w:pPr>
            <w:r>
              <w:rPr>
                <w:rFonts w:hint="eastAsia" w:ascii="宋体" w:hAnsi="宋体"/>
                <w:b/>
                <w:color w:val="000000"/>
              </w:rPr>
              <w:t>标准编号</w:t>
            </w:r>
          </w:p>
        </w:tc>
        <w:tc>
          <w:tcPr>
            <w:tcW w:w="1098" w:type="dxa"/>
            <w:vAlign w:val="center"/>
          </w:tcPr>
          <w:p w14:paraId="17CE4BAA">
            <w:pPr>
              <w:spacing w:line="360" w:lineRule="auto"/>
              <w:jc w:val="center"/>
              <w:rPr>
                <w:rFonts w:ascii="宋体" w:hAnsi="宋体"/>
                <w:b/>
                <w:color w:val="000000"/>
              </w:rPr>
            </w:pPr>
            <w:r>
              <w:rPr>
                <w:rFonts w:hint="eastAsia" w:ascii="宋体" w:hAnsi="宋体"/>
                <w:b/>
                <w:color w:val="000000"/>
              </w:rPr>
              <w:t>备注</w:t>
            </w:r>
          </w:p>
        </w:tc>
      </w:tr>
      <w:tr w14:paraId="290AD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8" w:type="dxa"/>
            <w:vAlign w:val="center"/>
          </w:tcPr>
          <w:p w14:paraId="57ED1C9B">
            <w:pPr>
              <w:spacing w:line="360" w:lineRule="auto"/>
              <w:jc w:val="center"/>
              <w:rPr>
                <w:rFonts w:ascii="宋体" w:hAnsi="宋体"/>
                <w:color w:val="000000"/>
              </w:rPr>
            </w:pPr>
            <w:r>
              <w:rPr>
                <w:rFonts w:hint="eastAsia" w:ascii="宋体" w:hAnsi="宋体"/>
                <w:color w:val="000000"/>
              </w:rPr>
              <w:t>1</w:t>
            </w:r>
          </w:p>
        </w:tc>
        <w:tc>
          <w:tcPr>
            <w:tcW w:w="3675" w:type="dxa"/>
            <w:vAlign w:val="center"/>
          </w:tcPr>
          <w:p w14:paraId="12210D30">
            <w:pPr>
              <w:spacing w:line="360" w:lineRule="auto"/>
              <w:jc w:val="left"/>
              <w:rPr>
                <w:rFonts w:ascii="宋体" w:hAnsi="宋体"/>
                <w:color w:val="000000"/>
              </w:rPr>
            </w:pPr>
            <w:r>
              <w:rPr>
                <w:rFonts w:hint="eastAsia" w:ascii="宋体" w:hAnsi="宋体"/>
                <w:color w:val="000000"/>
              </w:rPr>
              <w:t>卖方提供软件使用规范</w:t>
            </w:r>
          </w:p>
        </w:tc>
        <w:tc>
          <w:tcPr>
            <w:tcW w:w="3402" w:type="dxa"/>
            <w:vAlign w:val="center"/>
          </w:tcPr>
          <w:p w14:paraId="074013B2">
            <w:pPr>
              <w:spacing w:line="360" w:lineRule="auto"/>
              <w:jc w:val="center"/>
              <w:rPr>
                <w:rFonts w:ascii="宋体" w:hAnsi="宋体"/>
                <w:color w:val="000000"/>
              </w:rPr>
            </w:pPr>
          </w:p>
        </w:tc>
        <w:tc>
          <w:tcPr>
            <w:tcW w:w="1098" w:type="dxa"/>
            <w:vAlign w:val="center"/>
          </w:tcPr>
          <w:p w14:paraId="11A5943D">
            <w:pPr>
              <w:spacing w:line="360" w:lineRule="auto"/>
              <w:jc w:val="center"/>
              <w:rPr>
                <w:rFonts w:ascii="宋体" w:hAnsi="宋体"/>
                <w:color w:val="000000"/>
              </w:rPr>
            </w:pPr>
            <w:r>
              <w:rPr>
                <w:rFonts w:hint="eastAsia" w:ascii="宋体" w:hAnsi="宋体"/>
                <w:bCs/>
                <w:color w:val="000000"/>
                <w:szCs w:val="21"/>
              </w:rPr>
              <w:t>买方确认</w:t>
            </w:r>
          </w:p>
        </w:tc>
      </w:tr>
    </w:tbl>
    <w:p w14:paraId="0D6648DB">
      <w:pPr>
        <w:pStyle w:val="123"/>
        <w:rPr>
          <w:rFonts w:ascii="黑体" w:hAnsi="黑体"/>
          <w:sz w:val="24"/>
        </w:rPr>
      </w:pPr>
      <w:r>
        <w:rPr>
          <w:rFonts w:ascii="宋体" w:hAnsi="宋体" w:eastAsia="宋体"/>
        </w:rPr>
        <w:br w:type="page"/>
      </w:r>
      <w:r>
        <w:rPr>
          <w:rFonts w:hint="eastAsia" w:ascii="黑体" w:hAnsi="黑体"/>
          <w:sz w:val="24"/>
        </w:rPr>
        <w:t>第三章 供</w:t>
      </w:r>
      <w:bookmarkEnd w:id="15"/>
      <w:r>
        <w:rPr>
          <w:rFonts w:hint="eastAsia" w:ascii="黑体" w:hAnsi="黑体"/>
          <w:sz w:val="24"/>
        </w:rPr>
        <w:t>货</w:t>
      </w:r>
      <w:bookmarkStart w:id="16" w:name="_Toc465187642"/>
      <w:r>
        <w:rPr>
          <w:rFonts w:hint="eastAsia" w:ascii="黑体" w:hAnsi="黑体"/>
          <w:sz w:val="24"/>
        </w:rPr>
        <w:t>范围及供货方式</w:t>
      </w:r>
    </w:p>
    <w:p w14:paraId="3130C18F">
      <w:pPr>
        <w:pStyle w:val="121"/>
        <w:jc w:val="center"/>
        <w:rPr>
          <w:rFonts w:ascii="黑体" w:hAnsi="黑体"/>
          <w:sz w:val="24"/>
          <w:szCs w:val="24"/>
        </w:rPr>
      </w:pPr>
      <w:r>
        <w:rPr>
          <w:rFonts w:hint="eastAsia" w:ascii="黑体" w:hAnsi="黑体"/>
          <w:sz w:val="24"/>
          <w:szCs w:val="24"/>
        </w:rPr>
        <w:t>第一节</w:t>
      </w:r>
      <w:bookmarkEnd w:id="16"/>
      <w:r>
        <w:rPr>
          <w:rFonts w:hint="eastAsia" w:ascii="黑体" w:hAnsi="黑体"/>
          <w:sz w:val="24"/>
          <w:szCs w:val="24"/>
        </w:rPr>
        <w:t xml:space="preserve"> </w:t>
      </w:r>
      <w:r>
        <w:rPr>
          <w:rFonts w:ascii="黑体" w:hAnsi="黑体"/>
          <w:sz w:val="24"/>
          <w:szCs w:val="24"/>
        </w:rPr>
        <w:t xml:space="preserve"> </w:t>
      </w:r>
      <w:r>
        <w:rPr>
          <w:rFonts w:hint="eastAsia" w:ascii="黑体" w:hAnsi="黑体"/>
          <w:sz w:val="24"/>
          <w:szCs w:val="24"/>
        </w:rPr>
        <w:t>供货</w:t>
      </w:r>
      <w:bookmarkStart w:id="17" w:name="_Toc465187643"/>
      <w:r>
        <w:rPr>
          <w:rFonts w:hint="eastAsia" w:ascii="黑体" w:hAnsi="黑体"/>
          <w:sz w:val="24"/>
          <w:szCs w:val="24"/>
        </w:rPr>
        <w:t>范围</w:t>
      </w:r>
    </w:p>
    <w:p w14:paraId="102F60F4">
      <w:pPr>
        <w:spacing w:line="420" w:lineRule="exact"/>
        <w:ind w:firstLine="420" w:firstLineChars="200"/>
        <w:rPr>
          <w:rFonts w:ascii="黑体" w:hAnsi="黑体" w:eastAsia="黑体"/>
          <w:color w:val="000000"/>
          <w:szCs w:val="21"/>
        </w:rPr>
      </w:pPr>
      <w:r>
        <w:rPr>
          <w:rFonts w:hint="eastAsia" w:ascii="黑体" w:hAnsi="黑体" w:eastAsia="黑体"/>
          <w:color w:val="000000"/>
          <w:szCs w:val="21"/>
        </w:rPr>
        <w:t>一、供货</w:t>
      </w:r>
      <w:bookmarkEnd w:id="17"/>
      <w:r>
        <w:rPr>
          <w:rFonts w:hint="eastAsia" w:ascii="黑体" w:hAnsi="黑体" w:eastAsia="黑体"/>
          <w:color w:val="000000"/>
          <w:szCs w:val="21"/>
        </w:rPr>
        <w:t>范围</w:t>
      </w:r>
    </w:p>
    <w:p w14:paraId="75502A3E">
      <w:pPr>
        <w:spacing w:line="420" w:lineRule="exact"/>
        <w:ind w:firstLine="422" w:firstLineChars="200"/>
        <w:rPr>
          <w:rFonts w:ascii="宋体" w:hAnsi="宋体"/>
          <w:b/>
          <w:color w:val="000000"/>
        </w:rPr>
      </w:pPr>
      <w:r>
        <w:rPr>
          <w:rFonts w:hint="eastAsia" w:ascii="宋体" w:hAnsi="宋体"/>
          <w:b/>
          <w:color w:val="000000"/>
        </w:rPr>
        <w:t>（一）一般界定</w:t>
      </w:r>
    </w:p>
    <w:p w14:paraId="248EAD20">
      <w:pPr>
        <w:spacing w:line="420" w:lineRule="exact"/>
        <w:ind w:firstLine="420" w:firstLineChars="200"/>
        <w:rPr>
          <w:rFonts w:ascii="宋体" w:hAnsi="宋体"/>
          <w:color w:val="000000"/>
        </w:rPr>
      </w:pPr>
      <w:r>
        <w:rPr>
          <w:rFonts w:hint="eastAsia" w:ascii="宋体" w:hAnsi="宋体"/>
          <w:color w:val="000000"/>
        </w:rPr>
        <w:t>1、包括本技术标书所列明的主要</w:t>
      </w:r>
      <w:r>
        <w:rPr>
          <w:rFonts w:hint="eastAsia" w:ascii="宋体" w:hAnsi="宋体"/>
          <w:color w:val="FF0000"/>
        </w:rPr>
        <w:t>软件模块等</w:t>
      </w:r>
      <w:r>
        <w:rPr>
          <w:rFonts w:hint="eastAsia" w:ascii="宋体" w:hAnsi="宋体"/>
          <w:color w:val="000000"/>
        </w:rPr>
        <w:t>。</w:t>
      </w:r>
    </w:p>
    <w:p w14:paraId="428E4900">
      <w:pPr>
        <w:spacing w:line="420" w:lineRule="exact"/>
        <w:ind w:firstLine="420" w:firstLineChars="200"/>
        <w:rPr>
          <w:rFonts w:ascii="宋体" w:hAnsi="宋体"/>
          <w:color w:val="000000"/>
        </w:rPr>
      </w:pPr>
      <w:r>
        <w:rPr>
          <w:rFonts w:hint="eastAsia" w:ascii="宋体" w:hAnsi="宋体"/>
          <w:color w:val="000000"/>
        </w:rPr>
        <w:t>2、包括为保证</w:t>
      </w:r>
      <w:r>
        <w:rPr>
          <w:rFonts w:hint="eastAsia" w:ascii="宋体" w:hAnsi="宋体"/>
          <w:color w:val="FF0000"/>
        </w:rPr>
        <w:t>软件</w:t>
      </w:r>
      <w:r>
        <w:rPr>
          <w:rFonts w:hint="eastAsia" w:ascii="宋体" w:hAnsi="宋体"/>
          <w:color w:val="000000"/>
        </w:rPr>
        <w:t>正常安装、调试和验收完成及以前所必需的整套配件、附件及材料等。</w:t>
      </w:r>
    </w:p>
    <w:p w14:paraId="7B359EFE">
      <w:pPr>
        <w:spacing w:line="420" w:lineRule="exact"/>
        <w:ind w:firstLine="420" w:firstLineChars="200"/>
        <w:rPr>
          <w:rFonts w:ascii="宋体" w:hAnsi="宋体"/>
          <w:color w:val="000000"/>
        </w:rPr>
      </w:pPr>
      <w:r>
        <w:rPr>
          <w:rFonts w:hint="eastAsia" w:ascii="宋体" w:hAnsi="宋体"/>
          <w:color w:val="000000"/>
        </w:rPr>
        <w:t>如果终验收完成后，卖方有需要收回的配件、附件、材料等，应当在投标文件的技术偏离条款中，予以详细说明；否则视同包括在供货范围之内。</w:t>
      </w:r>
    </w:p>
    <w:p w14:paraId="3B61428C">
      <w:pPr>
        <w:spacing w:line="420" w:lineRule="exact"/>
        <w:ind w:firstLine="420" w:firstLineChars="200"/>
        <w:rPr>
          <w:rFonts w:ascii="黑体" w:hAnsi="黑体" w:eastAsia="黑体"/>
          <w:color w:val="000000"/>
          <w:szCs w:val="21"/>
        </w:rPr>
      </w:pPr>
      <w:r>
        <w:rPr>
          <w:rFonts w:hint="eastAsia" w:ascii="黑体" w:hAnsi="黑体" w:eastAsia="黑体"/>
          <w:color w:val="000000"/>
          <w:szCs w:val="21"/>
        </w:rPr>
        <w:t>（二）供货范围边界界定</w:t>
      </w:r>
    </w:p>
    <w:p w14:paraId="23BD6B3D">
      <w:pPr>
        <w:spacing w:line="420" w:lineRule="exact"/>
        <w:ind w:firstLine="420" w:firstLineChars="200"/>
        <w:rPr>
          <w:rFonts w:ascii="宋体" w:hAnsi="宋体"/>
          <w:color w:val="000000"/>
        </w:rPr>
      </w:pPr>
      <w:r>
        <w:rPr>
          <w:rFonts w:hint="eastAsia" w:ascii="宋体" w:hAnsi="宋体"/>
          <w:color w:val="000000"/>
        </w:rPr>
        <w:t>对于招标文件中无明确具体要求而投标方认为必须具备的其它</w:t>
      </w:r>
      <w:r>
        <w:rPr>
          <w:rFonts w:hint="eastAsia" w:ascii="宋体" w:hAnsi="宋体"/>
          <w:color w:val="FF0000"/>
        </w:rPr>
        <w:t>软件模块</w:t>
      </w:r>
      <w:r>
        <w:rPr>
          <w:rFonts w:hint="eastAsia" w:ascii="宋体" w:hAnsi="宋体"/>
          <w:color w:val="000000"/>
        </w:rPr>
        <w:t>，投标方必须将该部分</w:t>
      </w:r>
      <w:r>
        <w:rPr>
          <w:rFonts w:hint="eastAsia" w:ascii="宋体" w:hAnsi="宋体"/>
          <w:color w:val="FF0000"/>
        </w:rPr>
        <w:t>软件模块</w:t>
      </w:r>
      <w:r>
        <w:rPr>
          <w:rFonts w:hint="eastAsia" w:ascii="宋体" w:hAnsi="宋体"/>
          <w:color w:val="000000"/>
        </w:rPr>
        <w:t>单独报价（该报价含服务费及税费等其它费用，而且不再作为其它报价涉及的其它费用的计算基数）。</w:t>
      </w:r>
    </w:p>
    <w:p w14:paraId="5529724F">
      <w:pPr>
        <w:spacing w:line="420" w:lineRule="exact"/>
        <w:ind w:firstLine="420" w:firstLineChars="200"/>
        <w:rPr>
          <w:rFonts w:ascii="黑体" w:hAnsi="黑体" w:eastAsia="黑体"/>
          <w:color w:val="000000"/>
          <w:szCs w:val="21"/>
        </w:rPr>
      </w:pPr>
      <w:r>
        <w:rPr>
          <w:rFonts w:hint="eastAsia" w:ascii="黑体" w:hAnsi="黑体" w:eastAsia="黑体"/>
          <w:color w:val="000000"/>
          <w:szCs w:val="21"/>
        </w:rPr>
        <w:t>二、技术资料供货范围</w:t>
      </w:r>
    </w:p>
    <w:p w14:paraId="2B7D1104">
      <w:pPr>
        <w:spacing w:line="420" w:lineRule="exact"/>
        <w:ind w:firstLine="420" w:firstLineChars="200"/>
        <w:rPr>
          <w:rFonts w:ascii="宋体" w:hAnsi="宋体"/>
          <w:color w:val="000000"/>
        </w:rPr>
      </w:pPr>
      <w:r>
        <w:rPr>
          <w:rFonts w:hint="eastAsia" w:ascii="宋体" w:hAnsi="宋体"/>
          <w:color w:val="000000"/>
        </w:rPr>
        <w:t>技术资料供货范围包括：</w:t>
      </w:r>
    </w:p>
    <w:p w14:paraId="4FB689B7">
      <w:pPr>
        <w:spacing w:line="420" w:lineRule="exact"/>
        <w:ind w:firstLine="420" w:firstLineChars="200"/>
        <w:rPr>
          <w:rFonts w:ascii="宋体" w:hAnsi="宋体"/>
          <w:bCs/>
          <w:color w:val="000000"/>
        </w:rPr>
      </w:pPr>
      <w:r>
        <w:rPr>
          <w:rFonts w:hint="eastAsia" w:ascii="宋体" w:hAnsi="宋体"/>
          <w:color w:val="000000"/>
        </w:rPr>
        <w:t>1、在</w:t>
      </w:r>
      <w:r>
        <w:rPr>
          <w:rFonts w:hint="eastAsia" w:ascii="宋体" w:hAnsi="宋体"/>
          <w:bCs/>
          <w:color w:val="000000"/>
        </w:rPr>
        <w:t>合同签订后</w:t>
      </w:r>
      <w:r>
        <w:rPr>
          <w:rFonts w:hint="eastAsia" w:ascii="宋体" w:hAnsi="宋体"/>
          <w:bCs/>
          <w:color w:val="000000"/>
          <w:u w:val="single"/>
          <w:shd w:val="pct10" w:color="auto" w:fill="FFFFFF"/>
        </w:rPr>
        <w:t xml:space="preserve"> 30 </w:t>
      </w:r>
      <w:r>
        <w:rPr>
          <w:rFonts w:hint="eastAsia" w:ascii="宋体" w:hAnsi="宋体"/>
          <w:bCs/>
          <w:color w:val="000000"/>
        </w:rPr>
        <w:t>个日历日内</w:t>
      </w:r>
      <w:r>
        <w:rPr>
          <w:rFonts w:hint="eastAsia" w:ascii="宋体" w:hAnsi="宋体"/>
          <w:bCs/>
          <w:color w:val="FF0000"/>
        </w:rPr>
        <w:t>，提供软件相关的纸质及电子版资料；电子版文件应当能够使用常用版本软件可以阅读甚至使用，进口软件应有中外文对照。</w:t>
      </w:r>
    </w:p>
    <w:p w14:paraId="77435117">
      <w:pPr>
        <w:spacing w:line="420" w:lineRule="exact"/>
        <w:ind w:firstLine="420" w:firstLineChars="200"/>
        <w:rPr>
          <w:rFonts w:ascii="宋体" w:hAnsi="宋体"/>
          <w:color w:val="FF0000"/>
        </w:rPr>
      </w:pPr>
      <w:r>
        <w:rPr>
          <w:rFonts w:hint="eastAsia" w:ascii="宋体" w:hAnsi="宋体"/>
          <w:color w:val="000000"/>
        </w:rPr>
        <w:t>2、在预验收前，</w:t>
      </w:r>
      <w:r>
        <w:rPr>
          <w:rFonts w:hint="eastAsia" w:ascii="宋体" w:hAnsi="宋体"/>
          <w:bCs/>
          <w:color w:val="FF0000"/>
        </w:rPr>
        <w:t>提供软件各模块的功能描述文件、图片、影像等资料（进口应有中外文对照）。</w:t>
      </w:r>
    </w:p>
    <w:p w14:paraId="3D12812F">
      <w:pPr>
        <w:spacing w:line="420" w:lineRule="exact"/>
        <w:ind w:firstLine="420" w:firstLineChars="200"/>
        <w:rPr>
          <w:rFonts w:ascii="宋体" w:hAnsi="宋体"/>
          <w:color w:val="FF0000"/>
        </w:rPr>
      </w:pPr>
      <w:r>
        <w:rPr>
          <w:rFonts w:hint="eastAsia" w:ascii="宋体" w:hAnsi="宋体"/>
          <w:color w:val="000000"/>
        </w:rPr>
        <w:t>3、在终验收前，提供为保证</w:t>
      </w:r>
      <w:r>
        <w:rPr>
          <w:rFonts w:hint="eastAsia" w:ascii="宋体" w:hAnsi="宋体"/>
          <w:color w:val="FF0000"/>
        </w:rPr>
        <w:t>软件后续正常运行所需的技术要求等资料（如果供货范围包含该部分实物）。</w:t>
      </w:r>
    </w:p>
    <w:p w14:paraId="148ACD10">
      <w:pPr>
        <w:spacing w:line="420" w:lineRule="exact"/>
        <w:ind w:firstLine="420" w:firstLineChars="200"/>
        <w:rPr>
          <w:rFonts w:ascii="宋体" w:hAnsi="宋体"/>
          <w:color w:val="000000"/>
        </w:rPr>
      </w:pPr>
      <w:r>
        <w:rPr>
          <w:rFonts w:hint="eastAsia" w:ascii="宋体" w:hAnsi="宋体"/>
          <w:color w:val="000000"/>
        </w:rPr>
        <w:t>4、在终验收前，提供确定的</w:t>
      </w:r>
      <w:r>
        <w:rPr>
          <w:rFonts w:hint="eastAsia" w:ascii="宋体" w:hAnsi="宋体"/>
          <w:color w:val="FF0000"/>
        </w:rPr>
        <w:t>软件更新及后续服务</w:t>
      </w:r>
      <w:r>
        <w:rPr>
          <w:rFonts w:hint="eastAsia" w:ascii="宋体" w:hAnsi="宋体"/>
          <w:color w:val="000000"/>
        </w:rPr>
        <w:t>厂家明细表。</w:t>
      </w:r>
    </w:p>
    <w:p w14:paraId="5EBE9498">
      <w:pPr>
        <w:spacing w:line="420" w:lineRule="exact"/>
        <w:ind w:firstLine="420" w:firstLineChars="200"/>
        <w:rPr>
          <w:rFonts w:ascii="宋体" w:hAnsi="宋体"/>
          <w:color w:val="000000"/>
        </w:rPr>
      </w:pPr>
      <w:r>
        <w:rPr>
          <w:rFonts w:ascii="宋体" w:hAnsi="宋体"/>
          <w:color w:val="000000"/>
        </w:rPr>
        <w:t>5</w:t>
      </w:r>
      <w:r>
        <w:rPr>
          <w:rFonts w:hint="eastAsia" w:ascii="宋体" w:hAnsi="宋体"/>
          <w:color w:val="000000"/>
        </w:rPr>
        <w:t>、本条款所列的技术资料、图片、影像等，投标方应各提供5套，其中2套为电子版光（软）盘；每份技术文件应装有目录清单。</w:t>
      </w:r>
    </w:p>
    <w:p w14:paraId="6E7C25C7">
      <w:pPr>
        <w:spacing w:line="420" w:lineRule="exact"/>
        <w:ind w:firstLine="420" w:firstLineChars="200"/>
        <w:rPr>
          <w:rFonts w:ascii="宋体" w:hAnsi="宋体"/>
          <w:color w:val="000000"/>
        </w:rPr>
      </w:pPr>
      <w:r>
        <w:rPr>
          <w:rFonts w:ascii="宋体" w:hAnsi="宋体"/>
          <w:color w:val="000000"/>
        </w:rPr>
        <w:t>6</w:t>
      </w:r>
      <w:r>
        <w:rPr>
          <w:rFonts w:hint="eastAsia" w:ascii="宋体" w:hAnsi="宋体"/>
          <w:color w:val="000000"/>
        </w:rPr>
        <w:t>、本条款所列要求，如招标方认为投标方提供的资料不能满足要求时，有权要求投标方免费补充或增加。</w:t>
      </w:r>
    </w:p>
    <w:p w14:paraId="5E76874C">
      <w:pPr>
        <w:spacing w:line="420" w:lineRule="exact"/>
        <w:ind w:firstLine="420" w:firstLineChars="200"/>
        <w:rPr>
          <w:rFonts w:ascii="黑体" w:hAnsi="黑体" w:eastAsia="黑体"/>
          <w:color w:val="000000"/>
          <w:szCs w:val="21"/>
        </w:rPr>
      </w:pPr>
      <w:r>
        <w:rPr>
          <w:rFonts w:hint="eastAsia" w:ascii="黑体" w:hAnsi="黑体" w:eastAsia="黑体"/>
          <w:color w:val="000000"/>
          <w:szCs w:val="21"/>
        </w:rPr>
        <w:t>四、供货范围特别提示</w:t>
      </w:r>
    </w:p>
    <w:p w14:paraId="2D39A6EB">
      <w:pPr>
        <w:spacing w:line="420" w:lineRule="exact"/>
        <w:ind w:firstLine="420" w:firstLineChars="200"/>
        <w:rPr>
          <w:rFonts w:ascii="宋体" w:hAnsi="宋体"/>
          <w:color w:val="000000"/>
        </w:rPr>
      </w:pPr>
      <w:r>
        <w:rPr>
          <w:rFonts w:hint="eastAsia" w:ascii="宋体" w:hAnsi="宋体"/>
          <w:color w:val="000000"/>
        </w:rPr>
        <w:t>如果投标方认为本节所列的供货范围难以满足，则仍需要按照本要求提供，但该部分货物应当在投标报价中单独列明货物名称及品质、货值。</w:t>
      </w:r>
    </w:p>
    <w:p w14:paraId="2DD06806">
      <w:pPr>
        <w:pStyle w:val="121"/>
        <w:jc w:val="center"/>
        <w:rPr>
          <w:rFonts w:ascii="黑体" w:hAnsi="黑体"/>
          <w:sz w:val="24"/>
          <w:szCs w:val="24"/>
        </w:rPr>
      </w:pPr>
      <w:r>
        <w:rPr>
          <w:rFonts w:hint="eastAsia" w:ascii="黑体" w:hAnsi="黑体"/>
          <w:sz w:val="24"/>
          <w:szCs w:val="24"/>
        </w:rPr>
        <w:t xml:space="preserve">第二节 </w:t>
      </w:r>
      <w:r>
        <w:rPr>
          <w:rFonts w:ascii="黑体" w:hAnsi="黑体"/>
          <w:sz w:val="24"/>
          <w:szCs w:val="24"/>
        </w:rPr>
        <w:t xml:space="preserve"> </w:t>
      </w:r>
      <w:r>
        <w:rPr>
          <w:rFonts w:hint="eastAsia" w:ascii="黑体" w:hAnsi="黑体"/>
          <w:sz w:val="24"/>
          <w:szCs w:val="24"/>
        </w:rPr>
        <w:t>供货</w:t>
      </w:r>
      <w:bookmarkStart w:id="18" w:name="_Toc465187644"/>
      <w:r>
        <w:rPr>
          <w:rFonts w:hint="eastAsia" w:ascii="黑体" w:hAnsi="黑体"/>
          <w:sz w:val="24"/>
          <w:szCs w:val="24"/>
        </w:rPr>
        <w:t>方式</w:t>
      </w:r>
    </w:p>
    <w:p w14:paraId="65C8589E">
      <w:pPr>
        <w:spacing w:line="420" w:lineRule="exact"/>
        <w:ind w:firstLine="420" w:firstLineChars="200"/>
        <w:rPr>
          <w:rFonts w:ascii="黑体" w:hAnsi="黑体" w:eastAsia="黑体"/>
          <w:color w:val="000000"/>
          <w:szCs w:val="21"/>
        </w:rPr>
      </w:pPr>
      <w:r>
        <w:rPr>
          <w:rFonts w:hint="eastAsia" w:ascii="黑体" w:hAnsi="黑体" w:eastAsia="黑体"/>
          <w:color w:val="000000"/>
          <w:szCs w:val="21"/>
        </w:rPr>
        <w:t>一、供货</w:t>
      </w:r>
      <w:bookmarkEnd w:id="18"/>
      <w:r>
        <w:rPr>
          <w:rFonts w:hint="eastAsia" w:ascii="黑体" w:hAnsi="黑体" w:eastAsia="黑体"/>
          <w:color w:val="000000"/>
          <w:szCs w:val="21"/>
        </w:rPr>
        <w:t>方式</w:t>
      </w:r>
    </w:p>
    <w:p w14:paraId="364D9BBB">
      <w:pPr>
        <w:spacing w:line="420" w:lineRule="exact"/>
        <w:ind w:firstLine="420" w:firstLineChars="200"/>
        <w:rPr>
          <w:rFonts w:ascii="宋体" w:hAnsi="宋体"/>
          <w:color w:val="000000"/>
        </w:rPr>
      </w:pPr>
      <w:r>
        <w:rPr>
          <w:rFonts w:hint="eastAsia" w:ascii="宋体" w:hAnsi="宋体"/>
          <w:color w:val="000000"/>
        </w:rPr>
        <w:t>完全交钥匙方式，即本次招标软件至少包括以下服务：</w:t>
      </w:r>
      <w:r>
        <w:rPr>
          <w:rFonts w:hint="eastAsia" w:ascii="宋体" w:hAnsi="宋体"/>
          <w:color w:val="FF0000"/>
        </w:rPr>
        <w:t>安装、调试、服务、培训等</w:t>
      </w:r>
      <w:r>
        <w:rPr>
          <w:rFonts w:ascii="宋体" w:hAnsi="宋体"/>
          <w:color w:val="FF0000"/>
        </w:rPr>
        <w:t xml:space="preserve"> </w:t>
      </w:r>
    </w:p>
    <w:p w14:paraId="2DDDEE34">
      <w:pPr>
        <w:spacing w:line="420" w:lineRule="exact"/>
        <w:ind w:firstLine="420" w:firstLineChars="200"/>
        <w:rPr>
          <w:rFonts w:ascii="宋体" w:hAnsi="宋体"/>
          <w:color w:val="000000"/>
        </w:rPr>
      </w:pPr>
      <w:r>
        <w:rPr>
          <w:rFonts w:hint="eastAsia" w:ascii="黑体" w:hAnsi="黑体" w:eastAsia="黑体"/>
          <w:color w:val="000000"/>
          <w:szCs w:val="21"/>
        </w:rPr>
        <w:t>二、供货地点</w:t>
      </w:r>
      <w:r>
        <w:rPr>
          <w:rFonts w:hint="eastAsia" w:ascii="宋体" w:hAnsi="宋体"/>
          <w:color w:val="000000"/>
        </w:rPr>
        <w:t>：</w:t>
      </w:r>
      <w:r>
        <w:rPr>
          <w:rFonts w:hint="eastAsia" w:ascii="宋体" w:hAnsi="宋体"/>
          <w:color w:val="FF0000"/>
        </w:rPr>
        <w:t>重汽未来科技大厦</w:t>
      </w:r>
      <w:r>
        <w:rPr>
          <w:rFonts w:hint="eastAsia" w:ascii="宋体" w:hAnsi="宋体"/>
          <w:color w:val="000000"/>
        </w:rPr>
        <w:t>。</w:t>
      </w:r>
    </w:p>
    <w:p w14:paraId="35210039">
      <w:pPr>
        <w:adjustRightInd w:val="0"/>
        <w:snapToGrid w:val="0"/>
        <w:spacing w:line="420" w:lineRule="exact"/>
        <w:ind w:firstLine="420" w:firstLineChars="200"/>
        <w:rPr>
          <w:rFonts w:ascii="黑体" w:hAnsi="黑体" w:eastAsia="黑体"/>
          <w:color w:val="000000"/>
          <w:szCs w:val="21"/>
        </w:rPr>
      </w:pPr>
      <w:r>
        <w:rPr>
          <w:rFonts w:hint="eastAsia" w:ascii="黑体" w:hAnsi="黑体" w:eastAsia="黑体"/>
          <w:color w:val="000000"/>
          <w:szCs w:val="21"/>
        </w:rPr>
        <w:t>三、供货时间</w:t>
      </w:r>
    </w:p>
    <w:p w14:paraId="73EC8E29">
      <w:pPr>
        <w:spacing w:line="420" w:lineRule="exact"/>
        <w:ind w:firstLine="420" w:firstLineChars="200"/>
        <w:jc w:val="left"/>
        <w:rPr>
          <w:rFonts w:ascii="宋体" w:hAnsi="宋体"/>
          <w:color w:val="000000"/>
        </w:rPr>
      </w:pPr>
      <w:r>
        <w:rPr>
          <w:rFonts w:hint="eastAsia" w:ascii="宋体" w:hAnsi="宋体"/>
          <w:color w:val="000000"/>
        </w:rPr>
        <w:t>1、自合同签定生效之日起，</w:t>
      </w:r>
      <w:r>
        <w:rPr>
          <w:rFonts w:hint="eastAsia" w:ascii="宋体" w:hAnsi="宋体"/>
          <w:color w:val="000000"/>
          <w:u w:val="single"/>
          <w:shd w:val="pct10" w:color="auto" w:fill="FFFFFF"/>
        </w:rPr>
        <w:t xml:space="preserve">  30</w:t>
      </w:r>
      <w:r>
        <w:rPr>
          <w:rFonts w:hint="eastAsia" w:ascii="宋体" w:hAnsi="宋体"/>
          <w:color w:val="000000"/>
        </w:rPr>
        <w:t>个日历日之内交货至供货地点。</w:t>
      </w:r>
    </w:p>
    <w:p w14:paraId="27750DAF">
      <w:pPr>
        <w:spacing w:line="420" w:lineRule="exact"/>
        <w:ind w:firstLine="420" w:firstLineChars="200"/>
        <w:jc w:val="left"/>
        <w:rPr>
          <w:rFonts w:ascii="宋体" w:hAnsi="宋体"/>
          <w:color w:val="000000"/>
        </w:rPr>
      </w:pPr>
      <w:r>
        <w:rPr>
          <w:rFonts w:hint="eastAsia" w:ascii="宋体" w:hAnsi="宋体"/>
          <w:color w:val="000000"/>
        </w:rPr>
        <w:t>2、接续</w:t>
      </w:r>
      <w:r>
        <w:rPr>
          <w:rFonts w:hint="eastAsia" w:ascii="宋体" w:hAnsi="宋体"/>
          <w:color w:val="000000"/>
          <w:u w:val="single"/>
          <w:shd w:val="pct10" w:color="auto" w:fill="FFFFFF"/>
        </w:rPr>
        <w:t xml:space="preserve"> </w:t>
      </w:r>
      <w:r>
        <w:rPr>
          <w:rFonts w:ascii="宋体" w:hAnsi="宋体"/>
          <w:color w:val="FF0000"/>
          <w:u w:val="single"/>
          <w:shd w:val="pct10" w:color="auto" w:fill="FFFFFF"/>
        </w:rPr>
        <w:t>9</w:t>
      </w:r>
      <w:r>
        <w:rPr>
          <w:rFonts w:hint="eastAsia" w:ascii="宋体" w:hAnsi="宋体"/>
          <w:color w:val="FF0000"/>
          <w:u w:val="single"/>
          <w:shd w:val="pct10" w:color="auto" w:fill="FFFFFF"/>
        </w:rPr>
        <w:t>0</w:t>
      </w:r>
      <w:r>
        <w:rPr>
          <w:rFonts w:hint="eastAsia" w:ascii="宋体" w:hAnsi="宋体"/>
          <w:color w:val="000000"/>
        </w:rPr>
        <w:t>个日历日之内完成软件安装、调试、培训等工作。</w:t>
      </w:r>
    </w:p>
    <w:p w14:paraId="032FC90D">
      <w:pPr>
        <w:spacing w:line="420" w:lineRule="exact"/>
        <w:ind w:firstLine="420" w:firstLineChars="200"/>
        <w:jc w:val="left"/>
        <w:rPr>
          <w:rFonts w:ascii="宋体" w:hAnsi="宋体"/>
          <w:color w:val="000000"/>
        </w:rPr>
      </w:pPr>
      <w:r>
        <w:rPr>
          <w:rFonts w:hint="eastAsia" w:ascii="宋体" w:hAnsi="宋体"/>
          <w:color w:val="000000"/>
        </w:rPr>
        <w:t>3、终验收在</w:t>
      </w:r>
      <w:r>
        <w:rPr>
          <w:rFonts w:hint="eastAsia" w:ascii="宋体" w:hAnsi="宋体"/>
          <w:color w:val="000000"/>
          <w:u w:val="single"/>
          <w:shd w:val="pct10" w:color="auto" w:fill="FFFFFF"/>
        </w:rPr>
        <w:t xml:space="preserve">  10</w:t>
      </w:r>
      <w:r>
        <w:rPr>
          <w:rFonts w:hint="eastAsia" w:ascii="宋体" w:hAnsi="宋体"/>
          <w:color w:val="000000"/>
        </w:rPr>
        <w:t>个日历日之内完成（或协助完成）。</w:t>
      </w:r>
    </w:p>
    <w:p w14:paraId="789AC602">
      <w:pPr>
        <w:spacing w:line="420" w:lineRule="exact"/>
        <w:ind w:firstLine="420" w:firstLineChars="200"/>
        <w:jc w:val="left"/>
        <w:rPr>
          <w:rFonts w:ascii="宋体" w:hAnsi="宋体"/>
          <w:color w:val="000000"/>
        </w:rPr>
      </w:pPr>
      <w:r>
        <w:rPr>
          <w:rFonts w:hint="eastAsia" w:ascii="宋体" w:hAnsi="宋体"/>
          <w:color w:val="000000"/>
        </w:rPr>
        <w:t>安装调试工期超过10个日历日的，投标方应当随标书提供详细的工期计划。</w:t>
      </w:r>
    </w:p>
    <w:p w14:paraId="29DA29BD">
      <w:pPr>
        <w:pStyle w:val="123"/>
        <w:rPr>
          <w:rFonts w:ascii="黑体" w:hAnsi="黑体"/>
          <w:sz w:val="24"/>
        </w:rPr>
      </w:pPr>
      <w:r>
        <w:rPr>
          <w:rFonts w:ascii="宋体" w:hAnsi="宋体" w:eastAsia="宋体"/>
        </w:rPr>
        <w:br w:type="page"/>
      </w:r>
      <w:r>
        <w:rPr>
          <w:rFonts w:hint="eastAsia" w:ascii="黑体" w:hAnsi="黑体"/>
          <w:sz w:val="24"/>
        </w:rPr>
        <w:t>第四章  质保</w:t>
      </w:r>
      <w:bookmarkStart w:id="19" w:name="_Toc465187645"/>
      <w:r>
        <w:rPr>
          <w:rFonts w:hint="eastAsia" w:ascii="黑体" w:hAnsi="黑体"/>
          <w:sz w:val="24"/>
        </w:rPr>
        <w:t>期及售后服务</w:t>
      </w:r>
    </w:p>
    <w:bookmarkEnd w:id="19"/>
    <w:p w14:paraId="05A68FD4">
      <w:pPr>
        <w:adjustRightInd w:val="0"/>
        <w:snapToGrid w:val="0"/>
        <w:spacing w:line="420" w:lineRule="exact"/>
        <w:ind w:firstLine="420" w:firstLineChars="200"/>
        <w:rPr>
          <w:rFonts w:ascii="黑体" w:hAnsi="黑体" w:eastAsia="黑体"/>
          <w:color w:val="000000"/>
          <w:szCs w:val="21"/>
        </w:rPr>
      </w:pPr>
      <w:r>
        <w:rPr>
          <w:rFonts w:hint="eastAsia" w:ascii="黑体" w:hAnsi="黑体" w:eastAsia="黑体"/>
          <w:color w:val="000000"/>
          <w:szCs w:val="21"/>
        </w:rPr>
        <w:t>一、质保期及质保要求</w:t>
      </w:r>
    </w:p>
    <w:p w14:paraId="5CE47BD6">
      <w:pPr>
        <w:spacing w:line="420" w:lineRule="exact"/>
        <w:ind w:firstLine="420" w:firstLineChars="200"/>
        <w:jc w:val="left"/>
        <w:rPr>
          <w:rFonts w:ascii="宋体" w:hAnsi="宋体"/>
          <w:color w:val="000000"/>
        </w:rPr>
      </w:pPr>
      <w:r>
        <w:rPr>
          <w:rFonts w:hint="eastAsia" w:ascii="宋体" w:hAnsi="宋体"/>
          <w:color w:val="000000"/>
        </w:rPr>
        <w:t>1、全部供货范围内的软件模块，除合同特别约定外，其质保期均自终验收签字生效之日起</w:t>
      </w:r>
      <w:r>
        <w:rPr>
          <w:rFonts w:hint="eastAsia" w:ascii="宋体" w:hAnsi="宋体"/>
          <w:color w:val="000000"/>
          <w:u w:val="single"/>
          <w:shd w:val="pct10" w:color="auto" w:fill="FFFFFF"/>
        </w:rPr>
        <w:t xml:space="preserve"> 12 </w:t>
      </w:r>
      <w:r>
        <w:rPr>
          <w:rFonts w:hint="eastAsia" w:ascii="宋体" w:hAnsi="宋体"/>
          <w:color w:val="000000"/>
        </w:rPr>
        <w:t>个月。</w:t>
      </w:r>
    </w:p>
    <w:p w14:paraId="3CC1AD5A">
      <w:pPr>
        <w:spacing w:line="420" w:lineRule="exact"/>
        <w:ind w:firstLine="420" w:firstLineChars="200"/>
        <w:jc w:val="left"/>
        <w:rPr>
          <w:rFonts w:ascii="宋体" w:hAnsi="宋体"/>
          <w:color w:val="FF0000"/>
        </w:rPr>
      </w:pPr>
      <w:r>
        <w:rPr>
          <w:rFonts w:hint="eastAsia" w:ascii="宋体" w:hAnsi="宋体"/>
          <w:color w:val="000000"/>
        </w:rPr>
        <w:t>2、质保期之内，如果</w:t>
      </w:r>
      <w:r>
        <w:rPr>
          <w:rFonts w:hint="eastAsia" w:ascii="宋体" w:hAnsi="宋体"/>
          <w:color w:val="FF0000"/>
        </w:rPr>
        <w:t>软件出现任何影响正常使用问题，则质保期自软件重新正常运行使用之日起重新计算。</w:t>
      </w:r>
    </w:p>
    <w:p w14:paraId="3D4EDB24">
      <w:pPr>
        <w:spacing w:line="420" w:lineRule="exact"/>
        <w:ind w:firstLine="420" w:firstLineChars="200"/>
        <w:jc w:val="left"/>
        <w:rPr>
          <w:rFonts w:ascii="宋体" w:hAnsi="宋体"/>
          <w:color w:val="000000"/>
        </w:rPr>
      </w:pPr>
      <w:r>
        <w:rPr>
          <w:rFonts w:hint="eastAsia" w:ascii="宋体" w:hAnsi="宋体"/>
          <w:color w:val="000000"/>
        </w:rPr>
        <w:t>3、质保期内免费提供及时有效的服务。</w:t>
      </w:r>
    </w:p>
    <w:p w14:paraId="079B4142">
      <w:pPr>
        <w:spacing w:line="420" w:lineRule="exact"/>
        <w:ind w:firstLine="420" w:firstLineChars="200"/>
        <w:jc w:val="left"/>
        <w:rPr>
          <w:rFonts w:ascii="宋体" w:hAnsi="宋体"/>
          <w:color w:val="000000"/>
        </w:rPr>
      </w:pPr>
      <w:r>
        <w:rPr>
          <w:rFonts w:hint="eastAsia" w:ascii="宋体" w:hAnsi="宋体"/>
          <w:color w:val="000000"/>
        </w:rPr>
        <w:t>4、质保期终止之日起一年内重复出现的质保期之内出现的故障，仍属质保范围而且应当免费，质保期自故障解除后重新计算。</w:t>
      </w:r>
    </w:p>
    <w:p w14:paraId="0850960A">
      <w:pPr>
        <w:adjustRightInd w:val="0"/>
        <w:snapToGrid w:val="0"/>
        <w:spacing w:line="420" w:lineRule="exact"/>
        <w:ind w:firstLine="420" w:firstLineChars="200"/>
        <w:rPr>
          <w:rFonts w:ascii="黑体" w:hAnsi="黑体" w:eastAsia="黑体"/>
          <w:color w:val="000000"/>
          <w:szCs w:val="21"/>
        </w:rPr>
      </w:pPr>
      <w:r>
        <w:rPr>
          <w:rFonts w:hint="eastAsia" w:ascii="黑体" w:hAnsi="黑体" w:eastAsia="黑体"/>
          <w:color w:val="000000"/>
          <w:szCs w:val="21"/>
        </w:rPr>
        <w:t>二、技术及培训服务</w:t>
      </w:r>
      <w:r>
        <w:rPr>
          <w:rFonts w:hint="eastAsia" w:ascii="宋体" w:hAnsi="宋体"/>
          <w:color w:val="000000"/>
        </w:rPr>
        <w:t xml:space="preserve"> </w:t>
      </w:r>
    </w:p>
    <w:p w14:paraId="4ECBC9CF">
      <w:pPr>
        <w:adjustRightInd w:val="0"/>
        <w:snapToGrid w:val="0"/>
        <w:spacing w:line="420" w:lineRule="exact"/>
        <w:ind w:firstLine="420" w:firstLineChars="200"/>
        <w:rPr>
          <w:rFonts w:ascii="宋体" w:hAnsi="宋体"/>
          <w:color w:val="000000"/>
        </w:rPr>
      </w:pPr>
      <w:r>
        <w:rPr>
          <w:rFonts w:ascii="宋体" w:hAnsi="宋体"/>
          <w:color w:val="000000"/>
        </w:rPr>
        <w:t>1</w:t>
      </w:r>
      <w:r>
        <w:rPr>
          <w:rFonts w:hint="eastAsia" w:ascii="宋体" w:hAnsi="宋体"/>
          <w:color w:val="000000"/>
        </w:rPr>
        <w:t>、应负责在买方软件使用现场，对使用人员提供免费的理论、技术和操作等方面的技术指导和培训，并接受买方有关人员的技术咨询。培训工作日不少于</w:t>
      </w:r>
      <w:r>
        <w:rPr>
          <w:rFonts w:ascii="宋体" w:hAnsi="宋体"/>
          <w:color w:val="000000"/>
          <w:u w:val="single"/>
          <w:shd w:val="pct10" w:color="auto" w:fill="FFFFFF"/>
        </w:rPr>
        <w:t>5</w:t>
      </w:r>
      <w:r>
        <w:rPr>
          <w:rFonts w:hint="eastAsia" w:ascii="宋体" w:hAnsi="宋体"/>
          <w:color w:val="000000"/>
        </w:rPr>
        <w:t>个日历日。</w:t>
      </w:r>
    </w:p>
    <w:p w14:paraId="0C392781">
      <w:pPr>
        <w:adjustRightInd w:val="0"/>
        <w:snapToGrid w:val="0"/>
        <w:spacing w:line="420" w:lineRule="exact"/>
        <w:ind w:firstLine="420" w:firstLineChars="200"/>
        <w:rPr>
          <w:rFonts w:ascii="宋体" w:hAnsi="宋体"/>
          <w:color w:val="000000"/>
        </w:rPr>
      </w:pPr>
      <w:r>
        <w:rPr>
          <w:rFonts w:ascii="宋体" w:hAnsi="宋体"/>
          <w:color w:val="000000"/>
        </w:rPr>
        <w:t>2</w:t>
      </w:r>
      <w:r>
        <w:rPr>
          <w:rFonts w:hint="eastAsia" w:ascii="宋体" w:hAnsi="宋体"/>
          <w:color w:val="000000"/>
        </w:rPr>
        <w:t>、应免费提供一定数量的培训资料。</w:t>
      </w:r>
    </w:p>
    <w:p w14:paraId="3C3619D7">
      <w:pPr>
        <w:adjustRightInd w:val="0"/>
        <w:snapToGrid w:val="0"/>
        <w:spacing w:line="420" w:lineRule="exact"/>
        <w:ind w:firstLine="420" w:firstLineChars="200"/>
        <w:rPr>
          <w:rFonts w:ascii="宋体" w:hAnsi="宋体"/>
          <w:color w:val="000000"/>
        </w:rPr>
      </w:pPr>
      <w:r>
        <w:rPr>
          <w:rFonts w:hint="eastAsia" w:ascii="宋体" w:hAnsi="宋体"/>
          <w:color w:val="000000"/>
        </w:rPr>
        <w:t>4、应按要求免费积极协助和提供买方以及买方所委托的工程设计单位有关人员所需要的、与件有关的技术咨询等。</w:t>
      </w:r>
    </w:p>
    <w:p w14:paraId="706C46B3">
      <w:pPr>
        <w:adjustRightInd w:val="0"/>
        <w:snapToGrid w:val="0"/>
        <w:spacing w:line="420" w:lineRule="exact"/>
        <w:ind w:firstLine="420" w:firstLineChars="200"/>
        <w:rPr>
          <w:rFonts w:ascii="宋体" w:hAnsi="宋体"/>
          <w:color w:val="000000"/>
        </w:rPr>
      </w:pPr>
      <w:r>
        <w:rPr>
          <w:rFonts w:ascii="宋体" w:hAnsi="宋体"/>
          <w:color w:val="000000"/>
        </w:rPr>
        <w:t>5</w:t>
      </w:r>
      <w:r>
        <w:rPr>
          <w:rFonts w:hint="eastAsia" w:ascii="宋体" w:hAnsi="宋体"/>
          <w:color w:val="000000"/>
        </w:rPr>
        <w:t>、负责制定对买方人员在运行、维修和试验等方面的培训计划，并有专人负责实施培训计划。</w:t>
      </w:r>
      <w:r>
        <w:rPr>
          <w:rFonts w:ascii="宋体" w:hAnsi="宋体"/>
          <w:color w:val="000000"/>
        </w:rPr>
        <w:t xml:space="preserve"> </w:t>
      </w:r>
    </w:p>
    <w:p w14:paraId="54A74EB7">
      <w:pPr>
        <w:adjustRightInd w:val="0"/>
        <w:snapToGrid w:val="0"/>
        <w:spacing w:line="420" w:lineRule="exact"/>
        <w:ind w:firstLine="420" w:firstLineChars="200"/>
        <w:rPr>
          <w:rFonts w:ascii="黑体" w:hAnsi="黑体" w:eastAsia="黑体"/>
          <w:color w:val="000000"/>
          <w:szCs w:val="21"/>
        </w:rPr>
      </w:pPr>
      <w:r>
        <w:rPr>
          <w:rFonts w:hint="eastAsia" w:ascii="黑体" w:hAnsi="黑体" w:eastAsia="黑体"/>
          <w:color w:val="000000"/>
          <w:szCs w:val="21"/>
        </w:rPr>
        <w:t>三、安装调试及验收服务</w:t>
      </w:r>
    </w:p>
    <w:p w14:paraId="36B00098">
      <w:pPr>
        <w:adjustRightInd w:val="0"/>
        <w:snapToGrid w:val="0"/>
        <w:spacing w:line="420" w:lineRule="exact"/>
        <w:ind w:firstLine="420" w:firstLineChars="200"/>
        <w:rPr>
          <w:rFonts w:ascii="宋体" w:hAnsi="宋体"/>
          <w:color w:val="000000"/>
        </w:rPr>
      </w:pPr>
      <w:r>
        <w:rPr>
          <w:rFonts w:hint="eastAsia" w:ascii="宋体" w:hAnsi="宋体"/>
          <w:color w:val="000000"/>
        </w:rPr>
        <w:t>1、指导安装调试或负责安装调试以及协助验收，投标方均应在投标文件中明确其收费额或免费约定，否则视同免费；安装调试及验收服务均应按照合同约定或协议、通知及时组织并完成。因卖方原因造成的延期，所发生的费用全部由卖方承担。</w:t>
      </w:r>
    </w:p>
    <w:p w14:paraId="318AE3A2">
      <w:pPr>
        <w:adjustRightInd w:val="0"/>
        <w:snapToGrid w:val="0"/>
        <w:spacing w:line="420" w:lineRule="exact"/>
        <w:ind w:firstLine="420" w:firstLineChars="200"/>
        <w:rPr>
          <w:rFonts w:ascii="宋体" w:hAnsi="宋体"/>
          <w:color w:val="FF0000"/>
        </w:rPr>
      </w:pPr>
      <w:r>
        <w:rPr>
          <w:rFonts w:hint="eastAsia" w:ascii="宋体" w:hAnsi="宋体"/>
          <w:color w:val="000000"/>
        </w:rPr>
        <w:t>2、</w:t>
      </w:r>
      <w:r>
        <w:rPr>
          <w:rFonts w:hint="eastAsia" w:ascii="宋体" w:hAnsi="宋体"/>
          <w:color w:val="FF0000"/>
        </w:rPr>
        <w:t>若卖方提供的软件涉及到外购外协、而且该软件的技术质量等较为关键时，应保证能得到供应商的技术支持，并免费为买方提供安装使用现场的指导与培训。</w:t>
      </w:r>
    </w:p>
    <w:p w14:paraId="5533E432">
      <w:pPr>
        <w:adjustRightInd w:val="0"/>
        <w:snapToGrid w:val="0"/>
        <w:spacing w:line="420" w:lineRule="exact"/>
        <w:ind w:firstLine="420" w:firstLineChars="200"/>
        <w:rPr>
          <w:rFonts w:ascii="宋体" w:hAnsi="宋体"/>
          <w:color w:val="000000"/>
        </w:rPr>
      </w:pPr>
      <w:r>
        <w:rPr>
          <w:rFonts w:ascii="宋体" w:hAnsi="宋体"/>
          <w:color w:val="000000"/>
        </w:rPr>
        <w:t>3</w:t>
      </w:r>
      <w:r>
        <w:rPr>
          <w:rFonts w:hint="eastAsia" w:ascii="宋体" w:hAnsi="宋体"/>
          <w:color w:val="000000"/>
        </w:rPr>
        <w:t>、在卖方所提供软件需要得到买方项目所在地政府或行业主管部门的查验、试验、验收时，卖方应当免费完成或协助招标方完成所需要的工作、材料和服务等。协助完成的，应当在投标文件报价内容中予以说明，否则视同免费。</w:t>
      </w:r>
    </w:p>
    <w:p w14:paraId="143932BE">
      <w:pPr>
        <w:adjustRightInd w:val="0"/>
        <w:snapToGrid w:val="0"/>
        <w:spacing w:line="420" w:lineRule="exact"/>
        <w:ind w:firstLine="420" w:firstLineChars="200"/>
        <w:rPr>
          <w:rFonts w:ascii="宋体" w:hAnsi="宋体"/>
          <w:color w:val="000000"/>
        </w:rPr>
      </w:pPr>
      <w:r>
        <w:rPr>
          <w:rFonts w:hint="eastAsia" w:ascii="宋体" w:hAnsi="宋体"/>
          <w:color w:val="000000"/>
        </w:rPr>
        <w:t>5、卖方应当向买方提供软件验收的有关标准、规范和方法，同时提供合法性证明。</w:t>
      </w:r>
    </w:p>
    <w:p w14:paraId="105F558C">
      <w:pPr>
        <w:adjustRightInd w:val="0"/>
        <w:snapToGrid w:val="0"/>
        <w:spacing w:line="420" w:lineRule="exact"/>
        <w:ind w:firstLine="420" w:firstLineChars="200"/>
        <w:rPr>
          <w:rFonts w:ascii="宋体" w:hAnsi="宋体"/>
          <w:color w:val="000000"/>
        </w:rPr>
      </w:pPr>
      <w:r>
        <w:rPr>
          <w:rFonts w:hint="eastAsia" w:ascii="宋体" w:hAnsi="宋体"/>
          <w:color w:val="000000"/>
        </w:rPr>
        <w:t>6、服务缺陷视同货物缺陷和履约延期。</w:t>
      </w:r>
    </w:p>
    <w:p w14:paraId="183C4D18">
      <w:pPr>
        <w:adjustRightInd w:val="0"/>
        <w:snapToGrid w:val="0"/>
        <w:spacing w:line="420" w:lineRule="exact"/>
        <w:ind w:firstLine="420" w:firstLineChars="200"/>
        <w:rPr>
          <w:rFonts w:ascii="黑体" w:hAnsi="黑体" w:eastAsia="黑体"/>
          <w:color w:val="000000"/>
          <w:szCs w:val="21"/>
        </w:rPr>
      </w:pPr>
      <w:r>
        <w:rPr>
          <w:rFonts w:hint="eastAsia" w:ascii="黑体" w:hAnsi="黑体" w:eastAsia="黑体"/>
          <w:color w:val="000000"/>
          <w:szCs w:val="21"/>
        </w:rPr>
        <w:t>四、售后服务</w:t>
      </w:r>
    </w:p>
    <w:p w14:paraId="46AA571A">
      <w:pPr>
        <w:adjustRightInd w:val="0"/>
        <w:snapToGrid w:val="0"/>
        <w:spacing w:line="420" w:lineRule="exact"/>
        <w:ind w:firstLine="420" w:firstLineChars="200"/>
        <w:rPr>
          <w:rFonts w:ascii="宋体" w:hAnsi="宋体"/>
          <w:color w:val="000000"/>
        </w:rPr>
      </w:pPr>
      <w:r>
        <w:rPr>
          <w:rFonts w:hint="eastAsia" w:ascii="宋体" w:hAnsi="宋体"/>
          <w:color w:val="000000"/>
        </w:rPr>
        <w:t>1、卖方提供的软件涉及的所有售后服务均由卖方负责。如果发生问题并且收到通知，卖方应当在2小时内予以答复。</w:t>
      </w:r>
    </w:p>
    <w:p w14:paraId="1A612C91">
      <w:pPr>
        <w:adjustRightInd w:val="0"/>
        <w:snapToGrid w:val="0"/>
        <w:spacing w:line="420" w:lineRule="exact"/>
        <w:ind w:firstLine="420" w:firstLineChars="200"/>
        <w:rPr>
          <w:rFonts w:ascii="宋体" w:hAnsi="宋体"/>
          <w:color w:val="000000"/>
        </w:rPr>
      </w:pPr>
      <w:r>
        <w:rPr>
          <w:rFonts w:hint="eastAsia" w:ascii="宋体" w:hAnsi="宋体"/>
          <w:color w:val="000000"/>
        </w:rPr>
        <w:t>2、如发现所提供的软件存在问题，需要卖方解决或配合解决时：在质保期之内，应在接到通知后</w:t>
      </w:r>
      <w:r>
        <w:rPr>
          <w:rFonts w:hint="eastAsia" w:ascii="宋体" w:hAnsi="宋体"/>
          <w:color w:val="000000"/>
          <w:u w:val="single"/>
          <w:shd w:val="pct10" w:color="auto" w:fill="FFFFFF"/>
        </w:rPr>
        <w:t xml:space="preserve">  72   </w:t>
      </w:r>
      <w:r>
        <w:rPr>
          <w:rFonts w:hint="eastAsia" w:ascii="宋体" w:hAnsi="宋体"/>
          <w:color w:val="000000"/>
        </w:rPr>
        <w:t>小时内派有关人员到达现场；在质保期之外，应在接到通知后</w:t>
      </w:r>
      <w:r>
        <w:rPr>
          <w:rFonts w:hint="eastAsia" w:ascii="宋体" w:hAnsi="宋体"/>
          <w:color w:val="000000"/>
          <w:u w:val="single"/>
          <w:shd w:val="pct10" w:color="auto" w:fill="FFFFFF"/>
        </w:rPr>
        <w:t xml:space="preserve">  168   </w:t>
      </w:r>
      <w:r>
        <w:rPr>
          <w:rFonts w:hint="eastAsia" w:ascii="宋体" w:hAnsi="宋体"/>
          <w:color w:val="000000"/>
        </w:rPr>
        <w:t>小时内派有关人员到达现场。</w:t>
      </w:r>
    </w:p>
    <w:p w14:paraId="7ED2A9BF">
      <w:pPr>
        <w:adjustRightInd w:val="0"/>
        <w:snapToGrid w:val="0"/>
        <w:spacing w:line="420" w:lineRule="exact"/>
        <w:ind w:firstLine="420" w:firstLineChars="200"/>
        <w:rPr>
          <w:rFonts w:ascii="宋体" w:hAnsi="宋体"/>
          <w:color w:val="000000"/>
        </w:rPr>
      </w:pPr>
      <w:r>
        <w:rPr>
          <w:rFonts w:hint="eastAsia" w:ascii="宋体" w:hAnsi="宋体"/>
          <w:color w:val="000000"/>
        </w:rPr>
        <w:t>3、卖方派往买方使用现场的人员，应具有较高的业务素质；现场解决问题时，不得无故拖延或推迟，应为买方提供最佳的服务。</w:t>
      </w:r>
    </w:p>
    <w:p w14:paraId="4A301C50">
      <w:pPr>
        <w:adjustRightInd w:val="0"/>
        <w:snapToGrid w:val="0"/>
        <w:spacing w:line="420" w:lineRule="exact"/>
        <w:ind w:firstLine="420" w:firstLineChars="200"/>
        <w:rPr>
          <w:rFonts w:ascii="黑体" w:hAnsi="黑体" w:eastAsia="黑体"/>
          <w:color w:val="000000"/>
          <w:szCs w:val="21"/>
        </w:rPr>
      </w:pPr>
      <w:r>
        <w:rPr>
          <w:rFonts w:hint="eastAsia" w:ascii="黑体" w:hAnsi="黑体" w:eastAsia="黑体"/>
          <w:color w:val="000000"/>
          <w:szCs w:val="21"/>
        </w:rPr>
        <w:t>五、其它服务</w:t>
      </w:r>
    </w:p>
    <w:p w14:paraId="4ADBC128">
      <w:pPr>
        <w:adjustRightInd w:val="0"/>
        <w:snapToGrid w:val="0"/>
        <w:spacing w:line="420" w:lineRule="exact"/>
        <w:ind w:firstLine="420" w:firstLineChars="200"/>
        <w:rPr>
          <w:rFonts w:ascii="宋体" w:hAnsi="宋体"/>
          <w:color w:val="000000"/>
        </w:rPr>
      </w:pPr>
      <w:r>
        <w:rPr>
          <w:rFonts w:hint="eastAsia" w:ascii="宋体" w:hAnsi="宋体"/>
          <w:color w:val="000000"/>
        </w:rPr>
        <w:t>1、若卖方所提供软件有需要进口的，卖方一般应自行、自费办理；必要时，买卖双方共同办理。</w:t>
      </w:r>
    </w:p>
    <w:p w14:paraId="417FA68D">
      <w:pPr>
        <w:spacing w:line="420" w:lineRule="exact"/>
        <w:ind w:firstLine="420" w:firstLineChars="200"/>
        <w:rPr>
          <w:rFonts w:ascii="宋体" w:hAnsi="宋体"/>
          <w:color w:val="000000"/>
        </w:rPr>
      </w:pPr>
      <w:r>
        <w:rPr>
          <w:rFonts w:ascii="宋体" w:hAnsi="宋体"/>
          <w:color w:val="000000"/>
        </w:rPr>
        <w:t>2</w:t>
      </w:r>
      <w:r>
        <w:rPr>
          <w:rFonts w:hint="eastAsia" w:ascii="宋体" w:hAnsi="宋体"/>
          <w:color w:val="000000"/>
        </w:rPr>
        <w:t>、本章节条款所列“免费”，并非指定不可收费，而是指招标文件、投标文件、答疑文件、技术交流文件、技术协议书和合同等范围之外，投标方不可另行收取的费用。</w:t>
      </w:r>
    </w:p>
    <w:p w14:paraId="3BFD010C">
      <w:pPr>
        <w:pStyle w:val="123"/>
        <w:rPr>
          <w:rFonts w:ascii="黑体" w:hAnsi="黑体"/>
          <w:sz w:val="24"/>
        </w:rPr>
      </w:pPr>
      <w:r>
        <w:rPr>
          <w:rFonts w:ascii="宋体" w:hAnsi="宋体" w:eastAsia="宋体"/>
        </w:rPr>
        <w:br w:type="page"/>
      </w:r>
      <w:r>
        <w:rPr>
          <w:rFonts w:hint="eastAsia" w:ascii="黑体" w:hAnsi="黑体"/>
          <w:sz w:val="24"/>
        </w:rPr>
        <w:t>第五章  预验</w:t>
      </w:r>
      <w:bookmarkStart w:id="20" w:name="_Toc465187646"/>
      <w:r>
        <w:rPr>
          <w:rFonts w:hint="eastAsia" w:ascii="黑体" w:hAnsi="黑体"/>
          <w:sz w:val="24"/>
        </w:rPr>
        <w:t>收和终验收</w:t>
      </w:r>
    </w:p>
    <w:bookmarkEnd w:id="20"/>
    <w:p w14:paraId="14096152">
      <w:pPr>
        <w:spacing w:line="420" w:lineRule="exact"/>
        <w:ind w:firstLine="420" w:firstLineChars="200"/>
        <w:rPr>
          <w:rFonts w:ascii="黑体" w:hAnsi="黑体" w:eastAsia="黑体"/>
          <w:color w:val="000000"/>
        </w:rPr>
      </w:pPr>
      <w:r>
        <w:rPr>
          <w:rFonts w:hint="eastAsia" w:ascii="黑体" w:hAnsi="黑体" w:eastAsia="黑体"/>
          <w:color w:val="000000"/>
        </w:rPr>
        <w:t>一、验收依据和验收标准</w:t>
      </w:r>
    </w:p>
    <w:p w14:paraId="007CE0D1">
      <w:pPr>
        <w:spacing w:line="420" w:lineRule="exact"/>
        <w:ind w:firstLine="420" w:firstLineChars="200"/>
        <w:rPr>
          <w:rFonts w:ascii="宋体" w:hAnsi="宋体"/>
          <w:color w:val="000000"/>
        </w:rPr>
      </w:pPr>
      <w:r>
        <w:rPr>
          <w:rFonts w:hint="eastAsia" w:ascii="宋体" w:hAnsi="宋体"/>
          <w:color w:val="000000"/>
        </w:rPr>
        <w:t>1、验收标准一般以技术协议书和合同规定验收。无论技术协议书和合同，是否全部并准确列明验收所涉及的相关标准，均作为验收标准之一。</w:t>
      </w:r>
    </w:p>
    <w:p w14:paraId="7C12C850">
      <w:pPr>
        <w:adjustRightInd w:val="0"/>
        <w:snapToGrid w:val="0"/>
        <w:spacing w:line="420" w:lineRule="exact"/>
        <w:ind w:firstLine="420" w:firstLineChars="200"/>
        <w:rPr>
          <w:rFonts w:ascii="宋体" w:hAnsi="宋体"/>
          <w:color w:val="000000"/>
        </w:rPr>
      </w:pPr>
      <w:r>
        <w:rPr>
          <w:rFonts w:hint="eastAsia" w:ascii="宋体" w:hAnsi="宋体"/>
          <w:color w:val="000000"/>
        </w:rPr>
        <w:t>2、如果验收过程中，发现招标文件、投标文件、答疑文件、技术交流文件等与技术协议书、合同存在差异，原则上以涉及条款中对买方最有利条款为验收依据。</w:t>
      </w:r>
    </w:p>
    <w:p w14:paraId="169995E1">
      <w:pPr>
        <w:spacing w:line="420" w:lineRule="exact"/>
        <w:ind w:firstLine="420" w:firstLineChars="200"/>
        <w:rPr>
          <w:rFonts w:ascii="黑体" w:hAnsi="黑体" w:eastAsia="黑体"/>
          <w:color w:val="000000"/>
        </w:rPr>
      </w:pPr>
      <w:r>
        <w:rPr>
          <w:rFonts w:hint="eastAsia" w:ascii="黑体" w:hAnsi="黑体" w:eastAsia="黑体"/>
          <w:color w:val="000000"/>
        </w:rPr>
        <w:t>二、检验</w:t>
      </w:r>
    </w:p>
    <w:p w14:paraId="67E09BA8">
      <w:pPr>
        <w:adjustRightInd w:val="0"/>
        <w:snapToGrid w:val="0"/>
        <w:spacing w:line="420" w:lineRule="exact"/>
        <w:ind w:firstLine="420" w:firstLineChars="200"/>
        <w:rPr>
          <w:rFonts w:ascii="宋体" w:hAnsi="宋体"/>
          <w:color w:val="000000"/>
        </w:rPr>
      </w:pPr>
      <w:r>
        <w:rPr>
          <w:rFonts w:hint="eastAsia" w:ascii="宋体" w:hAnsi="宋体"/>
          <w:color w:val="000000"/>
        </w:rPr>
        <w:t>如果采购货物涉及必要的或必需的检验，投标方应当在投标文件中明确可能涉及的检验费用，并将该费用包含在投标总报价之内；不作针对性澄清或说明的，视同包含在投标总价之内。基本约定如下：</w:t>
      </w:r>
    </w:p>
    <w:p w14:paraId="63EFA6C6">
      <w:pPr>
        <w:adjustRightInd w:val="0"/>
        <w:snapToGrid w:val="0"/>
        <w:spacing w:line="420" w:lineRule="exact"/>
        <w:ind w:firstLine="420" w:firstLineChars="200"/>
        <w:rPr>
          <w:rFonts w:ascii="宋体" w:hAnsi="宋体"/>
          <w:color w:val="000000"/>
        </w:rPr>
      </w:pPr>
      <w:r>
        <w:rPr>
          <w:rFonts w:hint="eastAsia" w:ascii="宋体" w:hAnsi="宋体"/>
          <w:color w:val="000000"/>
        </w:rPr>
        <w:t>1、国产货物的检验一般由买卖双方共同进行或按照合同要求进行。</w:t>
      </w:r>
    </w:p>
    <w:p w14:paraId="26EBC669">
      <w:pPr>
        <w:adjustRightInd w:val="0"/>
        <w:snapToGrid w:val="0"/>
        <w:spacing w:line="420" w:lineRule="exact"/>
        <w:ind w:firstLine="420" w:firstLineChars="200"/>
        <w:rPr>
          <w:rFonts w:ascii="宋体" w:hAnsi="宋体"/>
          <w:color w:val="000000"/>
        </w:rPr>
      </w:pPr>
      <w:r>
        <w:rPr>
          <w:rFonts w:hint="eastAsia" w:ascii="宋体" w:hAnsi="宋体"/>
          <w:color w:val="000000"/>
        </w:rPr>
        <w:t>2、进口货物的检验，卖方需要按照下述要求进行：</w:t>
      </w:r>
    </w:p>
    <w:p w14:paraId="77CBF137">
      <w:pPr>
        <w:adjustRightInd w:val="0"/>
        <w:snapToGrid w:val="0"/>
        <w:spacing w:line="420" w:lineRule="exact"/>
        <w:ind w:firstLine="420" w:firstLineChars="200"/>
        <w:rPr>
          <w:rFonts w:ascii="宋体" w:hAnsi="宋体"/>
          <w:color w:val="000000"/>
        </w:rPr>
      </w:pPr>
      <w:r>
        <w:rPr>
          <w:rFonts w:hint="eastAsia" w:ascii="宋体" w:hAnsi="宋体"/>
          <w:color w:val="000000"/>
        </w:rPr>
        <w:t>2.1  进口货物发货前，应对货物的质量、型号、规格、性能和数量/重量作精密、全面的检验，并出具证明书，证明所供货物符合合同规定。</w:t>
      </w:r>
    </w:p>
    <w:p w14:paraId="41E095F4">
      <w:pPr>
        <w:adjustRightInd w:val="0"/>
        <w:snapToGrid w:val="0"/>
        <w:spacing w:line="420" w:lineRule="exact"/>
        <w:ind w:firstLine="420" w:firstLineChars="200"/>
        <w:rPr>
          <w:rFonts w:ascii="宋体" w:hAnsi="宋体"/>
          <w:color w:val="000000"/>
        </w:rPr>
      </w:pPr>
      <w:r>
        <w:rPr>
          <w:rFonts w:hint="eastAsia" w:ascii="宋体" w:hAnsi="宋体"/>
          <w:color w:val="000000"/>
        </w:rPr>
        <w:t>2.2  应依据合同规定的要求，提供买卖双方达成一致的货物的验收标准和装箱单，作为买方检验的依据。</w:t>
      </w:r>
    </w:p>
    <w:p w14:paraId="471C28C8">
      <w:pPr>
        <w:adjustRightInd w:val="0"/>
        <w:snapToGrid w:val="0"/>
        <w:spacing w:line="420" w:lineRule="exact"/>
        <w:ind w:firstLine="420" w:firstLineChars="200"/>
        <w:rPr>
          <w:rFonts w:ascii="宋体" w:hAnsi="宋体"/>
          <w:color w:val="000000"/>
        </w:rPr>
      </w:pPr>
      <w:r>
        <w:rPr>
          <w:rFonts w:hint="eastAsia" w:ascii="宋体" w:hAnsi="宋体"/>
          <w:color w:val="000000"/>
        </w:rPr>
        <w:t>2.3  进口货物到达目的地后，买方有权申请中国商品检验检疫局进行检验，如发现货物的品质及规格与合同或发票不符，除买方的责任外，买方有权在货物到达卸货目的地后18</w:t>
      </w:r>
      <w:r>
        <w:rPr>
          <w:rFonts w:ascii="宋体" w:hAnsi="宋体"/>
          <w:color w:val="000000"/>
        </w:rPr>
        <w:t>0</w:t>
      </w:r>
      <w:r>
        <w:rPr>
          <w:rFonts w:hint="eastAsia" w:ascii="宋体" w:hAnsi="宋体"/>
          <w:color w:val="000000"/>
        </w:rPr>
        <w:t>个日历日内，根据中国商品检验检疫局出具的证明书向卖方提出索赔，因索赔所发生的一切费用</w:t>
      </w:r>
      <w:r>
        <w:rPr>
          <w:rFonts w:ascii="宋体" w:hAnsi="宋体"/>
          <w:color w:val="000000"/>
        </w:rPr>
        <w:t>(</w:t>
      </w:r>
      <w:r>
        <w:rPr>
          <w:rFonts w:hint="eastAsia" w:ascii="宋体" w:hAnsi="宋体"/>
          <w:color w:val="000000"/>
        </w:rPr>
        <w:t>包括检验检疫费等</w:t>
      </w:r>
      <w:r>
        <w:rPr>
          <w:rFonts w:ascii="宋体" w:hAnsi="宋体"/>
          <w:color w:val="000000"/>
        </w:rPr>
        <w:t>)</w:t>
      </w:r>
      <w:r>
        <w:rPr>
          <w:rFonts w:hint="eastAsia" w:ascii="宋体" w:hAnsi="宋体"/>
          <w:color w:val="000000"/>
        </w:rPr>
        <w:t>均由卖方承担。</w:t>
      </w:r>
    </w:p>
    <w:p w14:paraId="12CDF9AE">
      <w:pPr>
        <w:spacing w:line="420" w:lineRule="exact"/>
        <w:ind w:firstLine="420" w:firstLineChars="200"/>
        <w:rPr>
          <w:rFonts w:ascii="黑体" w:hAnsi="黑体" w:eastAsia="黑体"/>
          <w:color w:val="000000"/>
        </w:rPr>
      </w:pPr>
      <w:r>
        <w:rPr>
          <w:rFonts w:hint="eastAsia" w:ascii="黑体" w:hAnsi="黑体" w:eastAsia="黑体"/>
          <w:color w:val="000000"/>
        </w:rPr>
        <w:t>三、验收基本条件</w:t>
      </w:r>
    </w:p>
    <w:p w14:paraId="0CAF4054">
      <w:pPr>
        <w:adjustRightInd w:val="0"/>
        <w:snapToGrid w:val="0"/>
        <w:spacing w:line="420" w:lineRule="exact"/>
        <w:ind w:firstLine="420" w:firstLineChars="200"/>
        <w:rPr>
          <w:rFonts w:ascii="宋体" w:hAnsi="宋体"/>
          <w:color w:val="000000"/>
        </w:rPr>
      </w:pPr>
      <w:r>
        <w:rPr>
          <w:rFonts w:hint="eastAsia" w:ascii="宋体" w:hAnsi="宋体"/>
          <w:color w:val="000000"/>
        </w:rPr>
        <w:t>验收一般分预验收和终验收两部分。预验收、终验收一般在卖方现场进行。但是所有的项目，包括不能预验收的项目和预验收通过的项目都在终验收时重新检验，最终只以终验收为准。</w:t>
      </w:r>
    </w:p>
    <w:p w14:paraId="2AB38B14">
      <w:pPr>
        <w:adjustRightInd w:val="0"/>
        <w:snapToGrid w:val="0"/>
        <w:spacing w:line="420" w:lineRule="exact"/>
        <w:ind w:firstLine="420" w:firstLineChars="200"/>
        <w:rPr>
          <w:rFonts w:ascii="宋体" w:hAnsi="宋体"/>
          <w:color w:val="000000"/>
        </w:rPr>
      </w:pPr>
      <w:r>
        <w:rPr>
          <w:rFonts w:hint="eastAsia" w:ascii="宋体" w:hAnsi="宋体"/>
          <w:color w:val="000000"/>
        </w:rPr>
        <w:t>买卖双方按照合同约定执行了合同，同时软件完成了试运行并经检验合格，则具备验收条件。</w:t>
      </w:r>
    </w:p>
    <w:p w14:paraId="6D0BB1D6">
      <w:pPr>
        <w:adjustRightInd w:val="0"/>
        <w:snapToGrid w:val="0"/>
        <w:spacing w:line="420" w:lineRule="exact"/>
        <w:ind w:firstLine="420" w:firstLineChars="200"/>
        <w:rPr>
          <w:rFonts w:ascii="宋体" w:hAnsi="宋体"/>
          <w:color w:val="000000"/>
        </w:rPr>
      </w:pPr>
      <w:r>
        <w:rPr>
          <w:rFonts w:hint="eastAsia" w:ascii="宋体" w:hAnsi="宋体"/>
          <w:color w:val="000000"/>
        </w:rPr>
        <w:t>1、预验收一般条件</w:t>
      </w:r>
    </w:p>
    <w:p w14:paraId="7A073E2C">
      <w:pPr>
        <w:adjustRightInd w:val="0"/>
        <w:snapToGrid w:val="0"/>
        <w:spacing w:line="420" w:lineRule="exact"/>
        <w:ind w:firstLine="420" w:firstLineChars="200"/>
        <w:rPr>
          <w:rFonts w:ascii="宋体" w:hAnsi="宋体"/>
          <w:color w:val="000000"/>
        </w:rPr>
      </w:pPr>
      <w:r>
        <w:rPr>
          <w:rFonts w:hint="eastAsia" w:ascii="宋体" w:hAnsi="宋体"/>
          <w:color w:val="000000"/>
        </w:rPr>
        <w:t>1.1  卖方已经按照“供货范围”要求提供了预验收资料，并且资料齐全、完整和有效。</w:t>
      </w:r>
    </w:p>
    <w:p w14:paraId="3D90BB34">
      <w:pPr>
        <w:adjustRightInd w:val="0"/>
        <w:snapToGrid w:val="0"/>
        <w:spacing w:line="420" w:lineRule="exact"/>
        <w:ind w:firstLine="420" w:firstLineChars="200"/>
        <w:rPr>
          <w:rFonts w:ascii="宋体" w:hAnsi="宋体"/>
          <w:color w:val="000000"/>
        </w:rPr>
      </w:pPr>
      <w:r>
        <w:rPr>
          <w:rFonts w:hint="eastAsia" w:ascii="宋体" w:hAnsi="宋体"/>
          <w:color w:val="000000"/>
        </w:rPr>
        <w:t>1.</w:t>
      </w:r>
      <w:r>
        <w:rPr>
          <w:rFonts w:ascii="宋体" w:hAnsi="宋体"/>
          <w:color w:val="000000"/>
        </w:rPr>
        <w:t xml:space="preserve">2  </w:t>
      </w:r>
      <w:r>
        <w:rPr>
          <w:rFonts w:hint="eastAsia" w:ascii="宋体" w:hAnsi="宋体"/>
          <w:color w:val="000000"/>
        </w:rPr>
        <w:t>软件可在买方P</w:t>
      </w:r>
      <w:r>
        <w:rPr>
          <w:rFonts w:ascii="宋体" w:hAnsi="宋体"/>
          <w:color w:val="000000"/>
        </w:rPr>
        <w:t>C</w:t>
      </w:r>
      <w:r>
        <w:rPr>
          <w:rFonts w:hint="eastAsia" w:ascii="宋体" w:hAnsi="宋体"/>
          <w:color w:val="000000"/>
        </w:rPr>
        <w:t>机上正常使用，并可达到使用目的。</w:t>
      </w:r>
      <w:r>
        <w:rPr>
          <w:rFonts w:ascii="宋体" w:hAnsi="宋体"/>
          <w:color w:val="000000"/>
        </w:rPr>
        <w:t xml:space="preserve"> </w:t>
      </w:r>
    </w:p>
    <w:p w14:paraId="152667C3">
      <w:pPr>
        <w:adjustRightInd w:val="0"/>
        <w:snapToGrid w:val="0"/>
        <w:spacing w:line="420" w:lineRule="exact"/>
        <w:ind w:firstLine="420" w:firstLineChars="200"/>
        <w:rPr>
          <w:rFonts w:ascii="宋体" w:hAnsi="宋体"/>
          <w:color w:val="000000"/>
        </w:rPr>
      </w:pPr>
      <w:r>
        <w:rPr>
          <w:rFonts w:hint="eastAsia" w:ascii="宋体" w:hAnsi="宋体"/>
          <w:color w:val="000000"/>
        </w:rPr>
        <w:t>2、终验收一般条件</w:t>
      </w:r>
    </w:p>
    <w:p w14:paraId="3F7EE53F">
      <w:pPr>
        <w:adjustRightInd w:val="0"/>
        <w:snapToGrid w:val="0"/>
        <w:spacing w:line="420" w:lineRule="exact"/>
        <w:ind w:firstLine="420" w:firstLineChars="200"/>
        <w:rPr>
          <w:rFonts w:ascii="宋体" w:hAnsi="宋体"/>
          <w:color w:val="000000"/>
        </w:rPr>
      </w:pPr>
      <w:r>
        <w:rPr>
          <w:rFonts w:hint="eastAsia" w:ascii="宋体" w:hAnsi="宋体"/>
          <w:color w:val="000000"/>
        </w:rPr>
        <w:t>2.1  经过预验收而且没有出现新的问题，或者满足预验收条款。</w:t>
      </w:r>
    </w:p>
    <w:p w14:paraId="15FBEB15">
      <w:pPr>
        <w:adjustRightInd w:val="0"/>
        <w:snapToGrid w:val="0"/>
        <w:spacing w:line="420" w:lineRule="exact"/>
        <w:ind w:firstLine="420" w:firstLineChars="200"/>
        <w:rPr>
          <w:rFonts w:ascii="宋体" w:hAnsi="宋体"/>
          <w:color w:val="000000"/>
        </w:rPr>
      </w:pPr>
      <w:r>
        <w:rPr>
          <w:rFonts w:hint="eastAsia" w:ascii="宋体" w:hAnsi="宋体"/>
          <w:color w:val="000000"/>
        </w:rPr>
        <w:t>2.2  经过卖方培训，买方可独自使用该软件进行设计工作。</w:t>
      </w:r>
    </w:p>
    <w:p w14:paraId="3654B64A">
      <w:pPr>
        <w:spacing w:line="420" w:lineRule="exact"/>
        <w:ind w:firstLine="420" w:firstLineChars="200"/>
        <w:rPr>
          <w:rFonts w:ascii="宋体" w:hAnsi="宋体"/>
          <w:color w:val="000000"/>
        </w:rPr>
      </w:pPr>
      <w:r>
        <w:rPr>
          <w:rFonts w:hint="eastAsia" w:ascii="宋体" w:hAnsi="宋体"/>
          <w:color w:val="000000"/>
        </w:rPr>
        <w:t>3、终验收基本要求</w:t>
      </w:r>
    </w:p>
    <w:p w14:paraId="4D3A571C">
      <w:pPr>
        <w:adjustRightInd w:val="0"/>
        <w:snapToGrid w:val="0"/>
        <w:spacing w:line="420" w:lineRule="exact"/>
        <w:ind w:firstLine="420" w:firstLineChars="200"/>
        <w:rPr>
          <w:rFonts w:ascii="宋体" w:hAnsi="宋体"/>
          <w:color w:val="000000"/>
        </w:rPr>
      </w:pPr>
      <w:r>
        <w:rPr>
          <w:rFonts w:hint="eastAsia" w:ascii="宋体" w:hAnsi="宋体"/>
          <w:color w:val="000000"/>
        </w:rPr>
        <w:t>3.1 在整个验收过程中发生重大故障，视作验收失败：</w:t>
      </w:r>
    </w:p>
    <w:p w14:paraId="0E040481">
      <w:pPr>
        <w:adjustRightInd w:val="0"/>
        <w:snapToGrid w:val="0"/>
        <w:spacing w:line="420" w:lineRule="exact"/>
        <w:ind w:firstLine="420" w:firstLineChars="200"/>
        <w:rPr>
          <w:rFonts w:ascii="宋体" w:hAnsi="宋体"/>
          <w:color w:val="000000"/>
        </w:rPr>
      </w:pPr>
      <w:r>
        <w:rPr>
          <w:rFonts w:hint="eastAsia" w:ascii="宋体" w:hAnsi="宋体"/>
          <w:color w:val="000000"/>
        </w:rPr>
        <w:t>3.2  终验收原则上要求一次完成。若一次验收不成功，最多允许两次；如果出现第三次验收失败，重新作价或退货；</w:t>
      </w:r>
    </w:p>
    <w:p w14:paraId="2A354746">
      <w:pPr>
        <w:adjustRightInd w:val="0"/>
        <w:snapToGrid w:val="0"/>
        <w:spacing w:line="420" w:lineRule="exact"/>
        <w:ind w:firstLine="420" w:firstLineChars="200"/>
        <w:rPr>
          <w:rFonts w:ascii="宋体" w:hAnsi="宋体"/>
          <w:color w:val="000000"/>
        </w:rPr>
      </w:pPr>
      <w:r>
        <w:rPr>
          <w:rFonts w:hint="eastAsia" w:ascii="宋体" w:hAnsi="宋体"/>
          <w:color w:val="000000"/>
        </w:rPr>
        <w:t>3.3 终验收通过后买卖双方共同签署终验收报告，并移交、核对全部供货范围内物品。</w:t>
      </w:r>
    </w:p>
    <w:p w14:paraId="160297C8">
      <w:pPr>
        <w:spacing w:line="420" w:lineRule="exact"/>
        <w:ind w:firstLine="420" w:firstLineChars="200"/>
        <w:rPr>
          <w:rFonts w:ascii="黑体" w:hAnsi="黑体" w:eastAsia="黑体"/>
          <w:color w:val="000000"/>
        </w:rPr>
      </w:pPr>
      <w:r>
        <w:rPr>
          <w:rFonts w:hint="eastAsia" w:ascii="黑体" w:hAnsi="黑体" w:eastAsia="黑体"/>
          <w:color w:val="000000"/>
        </w:rPr>
        <w:t>一、验收依据和验收标准</w:t>
      </w:r>
    </w:p>
    <w:p w14:paraId="2EB0AC95">
      <w:pPr>
        <w:spacing w:line="420" w:lineRule="exact"/>
        <w:ind w:firstLine="420" w:firstLineChars="200"/>
        <w:rPr>
          <w:rFonts w:ascii="宋体" w:hAnsi="宋体"/>
          <w:color w:val="000000"/>
        </w:rPr>
      </w:pPr>
      <w:r>
        <w:rPr>
          <w:rFonts w:ascii="宋体" w:hAnsi="宋体"/>
          <w:color w:val="000000"/>
        </w:rPr>
        <w:t>1、验收标准一般以技术协议书和合同规定验收。无论技术协议书和合同，是否全部并准确列明验收所涉及的相关标准，均作为验收标准之一。</w:t>
      </w:r>
    </w:p>
    <w:p w14:paraId="3EF47A85">
      <w:pPr>
        <w:spacing w:line="420" w:lineRule="exact"/>
        <w:ind w:firstLine="420" w:firstLineChars="200"/>
        <w:rPr>
          <w:rFonts w:ascii="宋体" w:hAnsi="宋体"/>
          <w:color w:val="000000"/>
        </w:rPr>
      </w:pPr>
      <w:r>
        <w:rPr>
          <w:rFonts w:ascii="宋体" w:hAnsi="宋体"/>
          <w:color w:val="000000"/>
        </w:rPr>
        <w:t>2、如果验收过程中，发现招标文件、投标文件、答疑文件、技术交流文件等与技术协议书、合同存在差异，原则上以涉及条款中对买方最有利条款为验收依据。</w:t>
      </w:r>
    </w:p>
    <w:p w14:paraId="001EC69E">
      <w:pPr>
        <w:spacing w:line="420" w:lineRule="exact"/>
        <w:ind w:firstLine="420" w:firstLineChars="200"/>
        <w:rPr>
          <w:rFonts w:ascii="黑体" w:hAnsi="黑体" w:eastAsia="黑体"/>
          <w:color w:val="000000"/>
        </w:rPr>
      </w:pPr>
      <w:r>
        <w:rPr>
          <w:rFonts w:hint="eastAsia" w:ascii="黑体" w:hAnsi="黑体" w:eastAsia="黑体"/>
          <w:color w:val="000000"/>
        </w:rPr>
        <w:t>二、检验</w:t>
      </w:r>
    </w:p>
    <w:p w14:paraId="1DCA1C18">
      <w:pPr>
        <w:spacing w:line="420" w:lineRule="exact"/>
        <w:ind w:firstLine="420" w:firstLineChars="200"/>
        <w:rPr>
          <w:rFonts w:ascii="宋体" w:hAnsi="宋体"/>
          <w:color w:val="000000"/>
        </w:rPr>
      </w:pPr>
      <w:r>
        <w:rPr>
          <w:rFonts w:hint="eastAsia" w:ascii="宋体" w:hAnsi="宋体"/>
          <w:color w:val="000000"/>
        </w:rPr>
        <w:t>如果采购软件涉及必要的或必需的检验，投标方应当在投标文件中明确可能涉及的检验费用，并将该费用包含在投标总报价之内；不作针对性澄清或说明的，视同包含在投标总价之内。</w:t>
      </w:r>
    </w:p>
    <w:p w14:paraId="5CC96F1E">
      <w:pPr>
        <w:pStyle w:val="123"/>
        <w:rPr>
          <w:rFonts w:ascii="黑体" w:hAnsi="黑体"/>
          <w:sz w:val="24"/>
        </w:rPr>
      </w:pPr>
      <w:r>
        <w:rPr>
          <w:rFonts w:ascii="宋体" w:hAnsi="宋体" w:eastAsia="宋体"/>
        </w:rPr>
        <w:br w:type="page"/>
      </w:r>
      <w:r>
        <w:rPr>
          <w:rFonts w:hint="eastAsia" w:ascii="黑体" w:hAnsi="黑体"/>
          <w:sz w:val="24"/>
        </w:rPr>
        <w:t xml:space="preserve">第六章 </w:t>
      </w:r>
      <w:r>
        <w:rPr>
          <w:rFonts w:ascii="黑体" w:hAnsi="黑体"/>
          <w:sz w:val="24"/>
        </w:rPr>
        <w:t xml:space="preserve"> </w:t>
      </w:r>
      <w:r>
        <w:rPr>
          <w:rFonts w:hint="eastAsia" w:ascii="黑体" w:hAnsi="黑体"/>
          <w:sz w:val="24"/>
        </w:rPr>
        <w:t>投标</w:t>
      </w:r>
      <w:bookmarkStart w:id="21" w:name="_Toc465187647"/>
      <w:r>
        <w:rPr>
          <w:rFonts w:hint="eastAsia" w:ascii="黑体" w:hAnsi="黑体"/>
          <w:sz w:val="24"/>
        </w:rPr>
        <w:t>技术文件一般要求</w:t>
      </w:r>
    </w:p>
    <w:p w14:paraId="71CE19CE">
      <w:pPr>
        <w:pStyle w:val="121"/>
        <w:rPr>
          <w:rFonts w:ascii="黑体" w:hAnsi="黑体"/>
          <w:sz w:val="21"/>
          <w:szCs w:val="21"/>
        </w:rPr>
      </w:pPr>
      <w:r>
        <w:rPr>
          <w:rFonts w:hint="eastAsia" w:ascii="黑体" w:hAnsi="黑体"/>
          <w:sz w:val="21"/>
          <w:szCs w:val="21"/>
        </w:rPr>
        <w:t>一、技</w:t>
      </w:r>
      <w:bookmarkEnd w:id="21"/>
      <w:r>
        <w:rPr>
          <w:rFonts w:hint="eastAsia" w:ascii="黑体" w:hAnsi="黑体"/>
          <w:sz w:val="21"/>
          <w:szCs w:val="21"/>
        </w:rPr>
        <w:t>术文件一般内容要求</w:t>
      </w:r>
    </w:p>
    <w:p w14:paraId="2398BE44">
      <w:pPr>
        <w:adjustRightInd w:val="0"/>
        <w:snapToGrid w:val="0"/>
        <w:spacing w:line="420" w:lineRule="exact"/>
        <w:ind w:firstLine="420" w:firstLineChars="200"/>
        <w:rPr>
          <w:rFonts w:ascii="宋体" w:hAnsi="宋体"/>
          <w:color w:val="000000"/>
        </w:rPr>
      </w:pPr>
      <w:r>
        <w:rPr>
          <w:rFonts w:hint="eastAsia" w:ascii="宋体" w:hAnsi="宋体"/>
          <w:color w:val="000000"/>
        </w:rPr>
        <w:t>1、投标方应认真阅读招标文件和本技术标书，并按要求编写投标技术文件。</w:t>
      </w:r>
    </w:p>
    <w:p w14:paraId="46A8D865">
      <w:pPr>
        <w:adjustRightInd w:val="0"/>
        <w:snapToGrid w:val="0"/>
        <w:spacing w:line="420" w:lineRule="exact"/>
        <w:ind w:firstLine="420" w:firstLineChars="200"/>
        <w:rPr>
          <w:rFonts w:ascii="宋体" w:hAnsi="宋体"/>
          <w:color w:val="000000"/>
        </w:rPr>
      </w:pPr>
      <w:r>
        <w:rPr>
          <w:rFonts w:hint="eastAsia" w:ascii="宋体" w:hAnsi="宋体"/>
          <w:color w:val="000000"/>
        </w:rPr>
        <w:t>2、投标技术文件至少应对投标软件的功能用途、技术性能等作出详细说明。</w:t>
      </w:r>
    </w:p>
    <w:p w14:paraId="311C547A">
      <w:pPr>
        <w:adjustRightInd w:val="0"/>
        <w:snapToGrid w:val="0"/>
        <w:spacing w:line="420" w:lineRule="exact"/>
        <w:ind w:firstLine="420" w:firstLineChars="200"/>
        <w:rPr>
          <w:rFonts w:ascii="宋体" w:hAnsi="宋体"/>
          <w:color w:val="000000"/>
        </w:rPr>
      </w:pPr>
      <w:r>
        <w:rPr>
          <w:rFonts w:hint="eastAsia" w:ascii="宋体" w:hAnsi="宋体"/>
          <w:color w:val="000000"/>
        </w:rPr>
        <w:t>3、投标技术文件至少应根据投标软件的功能用途、技术性能等作出满足或优于招标文件要求的详细说明。</w:t>
      </w:r>
    </w:p>
    <w:p w14:paraId="50473348">
      <w:pPr>
        <w:pStyle w:val="121"/>
        <w:rPr>
          <w:rFonts w:ascii="黑体" w:hAnsi="黑体"/>
          <w:sz w:val="21"/>
          <w:szCs w:val="21"/>
        </w:rPr>
      </w:pPr>
      <w:r>
        <w:rPr>
          <w:rFonts w:hint="eastAsia" w:ascii="黑体" w:hAnsi="黑体"/>
          <w:sz w:val="21"/>
          <w:szCs w:val="21"/>
        </w:rPr>
        <w:t>二、技术文件中货物报价格式要求</w:t>
      </w:r>
    </w:p>
    <w:p w14:paraId="7B2D1608">
      <w:pPr>
        <w:spacing w:line="420" w:lineRule="exact"/>
        <w:ind w:firstLine="420" w:firstLineChars="200"/>
        <w:rPr>
          <w:rFonts w:ascii="宋体" w:hAnsi="宋体"/>
          <w:color w:val="000000"/>
        </w:rPr>
      </w:pPr>
      <w:r>
        <w:rPr>
          <w:rFonts w:hint="eastAsia" w:ascii="宋体" w:hAnsi="宋体"/>
          <w:color w:val="000000"/>
        </w:rPr>
        <w:t>1、投标技术文件中，如未按照要求编写、或者存在漏项和缺项，将有可能造成对投标方不必要的误解；必要时，漏项和缺项涉及的费用，将有可能以其它投标方中，相同或相似项目的最高价，计入投标方的投标总报价之内，作为评标的依据之一。</w:t>
      </w:r>
    </w:p>
    <w:p w14:paraId="29392274">
      <w:pPr>
        <w:spacing w:line="420" w:lineRule="exact"/>
        <w:ind w:firstLine="420" w:firstLineChars="200"/>
        <w:rPr>
          <w:rFonts w:ascii="宋体" w:hAnsi="宋体"/>
          <w:color w:val="000000"/>
        </w:rPr>
      </w:pPr>
      <w:r>
        <w:rPr>
          <w:rFonts w:hint="eastAsia" w:ascii="宋体" w:hAnsi="宋体"/>
          <w:color w:val="000000"/>
        </w:rPr>
        <w:t>2、如果投标总报价与其它价格出现错误或不一致，将有可能导致废标。</w:t>
      </w:r>
    </w:p>
    <w:p w14:paraId="0CC5F6C5">
      <w:pPr>
        <w:spacing w:line="420" w:lineRule="exact"/>
        <w:ind w:firstLine="420" w:firstLineChars="200"/>
        <w:rPr>
          <w:rFonts w:ascii="宋体" w:hAnsi="宋体"/>
          <w:color w:val="000000"/>
        </w:rPr>
      </w:pPr>
      <w:r>
        <w:rPr>
          <w:rFonts w:hint="eastAsia" w:ascii="宋体" w:hAnsi="宋体"/>
          <w:color w:val="000000"/>
        </w:rPr>
        <w:t>3、投标总报价为自合同签定生效至合同无异议执行完毕涉及的买方需要支付的全部费用。如投标方认为本招标及投标货物涉及特需或专门的设计，应当单独列明设计费。</w:t>
      </w:r>
    </w:p>
    <w:p w14:paraId="0BA10B1A">
      <w:pPr>
        <w:spacing w:line="420" w:lineRule="exact"/>
        <w:ind w:firstLine="420" w:firstLineChars="200"/>
        <w:rPr>
          <w:rFonts w:ascii="宋体" w:hAnsi="宋体"/>
          <w:color w:val="000000"/>
        </w:rPr>
      </w:pPr>
      <w:r>
        <w:rPr>
          <w:rFonts w:hint="eastAsia" w:ascii="宋体" w:hAnsi="宋体"/>
          <w:color w:val="000000"/>
        </w:rPr>
        <w:t>4、要求投标总报价、分项报价、明细报价之间应当具有相互间对应关系以及填报分项和明细报价，仅为便于评标而不妨碍投标人以最合适的形式签署合同。</w:t>
      </w:r>
    </w:p>
    <w:p w14:paraId="11801F6E">
      <w:pPr>
        <w:pStyle w:val="121"/>
        <w:rPr>
          <w:rFonts w:ascii="黑体" w:hAnsi="黑体"/>
          <w:sz w:val="21"/>
          <w:szCs w:val="21"/>
        </w:rPr>
      </w:pPr>
      <w:r>
        <w:rPr>
          <w:rFonts w:hint="eastAsia" w:ascii="黑体" w:hAnsi="黑体"/>
          <w:sz w:val="21"/>
          <w:szCs w:val="21"/>
        </w:rPr>
        <w:t>三、验收标准及内容要求</w:t>
      </w:r>
    </w:p>
    <w:p w14:paraId="19953D43">
      <w:pPr>
        <w:adjustRightInd w:val="0"/>
        <w:snapToGrid w:val="0"/>
        <w:spacing w:line="420" w:lineRule="exact"/>
        <w:ind w:firstLine="420" w:firstLineChars="200"/>
        <w:rPr>
          <w:rFonts w:ascii="宋体" w:hAnsi="宋体"/>
          <w:color w:val="000000"/>
        </w:rPr>
      </w:pPr>
      <w:r>
        <w:rPr>
          <w:rFonts w:hint="eastAsia" w:ascii="宋体" w:hAnsi="宋体"/>
          <w:color w:val="000000"/>
        </w:rPr>
        <w:t>除招标文件明确的验收标准或内容之外，投标方应当在投标文件中提供预验收（必要时）和终验收的标准以及规程；在合同签定之前，经投标方和招标方双方洽谈确认并签署，以作为验收标准执行。</w:t>
      </w:r>
    </w:p>
    <w:p w14:paraId="5625C360">
      <w:pPr>
        <w:pStyle w:val="2"/>
        <w:spacing w:before="120" w:after="120" w:line="480" w:lineRule="exact"/>
        <w:jc w:val="center"/>
        <w:rPr>
          <w:rFonts w:ascii="宋体" w:hAnsi="宋体"/>
          <w:b w:val="0"/>
          <w:color w:val="000000"/>
          <w:sz w:val="24"/>
          <w:szCs w:val="24"/>
        </w:rPr>
        <w:sectPr>
          <w:pgSz w:w="11906" w:h="16838"/>
          <w:pgMar w:top="1588" w:right="1418" w:bottom="1134" w:left="1418" w:header="851" w:footer="992" w:gutter="0"/>
          <w:pgNumType w:fmt="numberInDash"/>
          <w:cols w:space="720" w:num="1"/>
          <w:titlePg/>
          <w:docGrid w:type="lines" w:linePitch="312" w:charSpace="0"/>
        </w:sectPr>
      </w:pPr>
    </w:p>
    <w:p w14:paraId="4300FF6D">
      <w:pPr>
        <w:pStyle w:val="123"/>
        <w:rPr>
          <w:rFonts w:ascii="黑体" w:hAnsi="黑体"/>
          <w:sz w:val="24"/>
        </w:rPr>
      </w:pPr>
      <w:r>
        <w:rPr>
          <w:rFonts w:hint="eastAsia" w:ascii="黑体" w:hAnsi="黑体"/>
          <w:sz w:val="24"/>
        </w:rPr>
        <w:t xml:space="preserve">第七章 </w:t>
      </w:r>
      <w:r>
        <w:rPr>
          <w:rFonts w:ascii="黑体" w:hAnsi="黑体"/>
          <w:sz w:val="24"/>
        </w:rPr>
        <w:t xml:space="preserve"> </w:t>
      </w:r>
      <w:r>
        <w:rPr>
          <w:rFonts w:hint="eastAsia" w:ascii="黑体" w:hAnsi="黑体"/>
          <w:sz w:val="24"/>
        </w:rPr>
        <w:t>其</w:t>
      </w:r>
      <w:bookmarkStart w:id="22" w:name="_Toc465187648"/>
      <w:r>
        <w:rPr>
          <w:rFonts w:hint="eastAsia" w:ascii="黑体" w:hAnsi="黑体"/>
          <w:sz w:val="24"/>
        </w:rPr>
        <w:t>它要求及说明</w:t>
      </w:r>
    </w:p>
    <w:p w14:paraId="53294D13">
      <w:pPr>
        <w:pStyle w:val="121"/>
        <w:rPr>
          <w:rFonts w:ascii="黑体" w:hAnsi="黑体"/>
          <w:sz w:val="21"/>
          <w:szCs w:val="21"/>
        </w:rPr>
      </w:pPr>
      <w:r>
        <w:rPr>
          <w:rFonts w:hint="eastAsia" w:ascii="黑体" w:hAnsi="黑体"/>
          <w:sz w:val="21"/>
          <w:szCs w:val="21"/>
        </w:rPr>
        <w:t>一、要求</w:t>
      </w:r>
      <w:bookmarkEnd w:id="22"/>
    </w:p>
    <w:p w14:paraId="7217141B">
      <w:pPr>
        <w:pStyle w:val="17"/>
        <w:spacing w:line="420" w:lineRule="exact"/>
        <w:rPr>
          <w:rFonts w:ascii="宋体" w:hAnsi="宋体"/>
          <w:color w:val="000000"/>
        </w:rPr>
      </w:pPr>
      <w:r>
        <w:rPr>
          <w:rFonts w:hint="eastAsia" w:ascii="宋体" w:hAnsi="宋体"/>
          <w:color w:val="000000"/>
        </w:rPr>
        <w:t>为保证本技术标书所列采购软件可行性、先进性及性价比，要求投标方在投标文件中，至少应具备以下资格证明文件或资料：</w:t>
      </w:r>
    </w:p>
    <w:p w14:paraId="7C2225E2">
      <w:pPr>
        <w:spacing w:line="420" w:lineRule="exact"/>
        <w:ind w:firstLine="417" w:firstLineChars="199"/>
        <w:rPr>
          <w:rFonts w:ascii="宋体" w:hAnsi="宋体"/>
          <w:color w:val="000000"/>
        </w:rPr>
      </w:pPr>
      <w:r>
        <w:rPr>
          <w:rFonts w:hint="eastAsia" w:ascii="宋体" w:hAnsi="宋体"/>
          <w:color w:val="000000"/>
        </w:rPr>
        <w:t>1、投标方应是独立法人或得到法人授权的机构。应当在投标文件中提供法人营业执照（复印件）、税务登记证以及组织机构代码证（国际供应商参考该要求提供有效证明文件），并保证其真实性和有效性。</w:t>
      </w:r>
    </w:p>
    <w:p w14:paraId="5E221B3A">
      <w:pPr>
        <w:spacing w:line="420" w:lineRule="exact"/>
        <w:ind w:firstLine="417" w:firstLineChars="199"/>
        <w:rPr>
          <w:rFonts w:ascii="宋体" w:hAnsi="宋体"/>
          <w:color w:val="000000"/>
        </w:rPr>
      </w:pPr>
      <w:r>
        <w:rPr>
          <w:rFonts w:hint="eastAsia" w:ascii="宋体" w:hAnsi="宋体"/>
          <w:color w:val="000000"/>
        </w:rPr>
        <w:t>2、投标方应当是通过有关资格认证的法人。应当在投标文件中提供有效期内的资格认证证书，如：ISO9001、VDA6.1、QS9000等。</w:t>
      </w:r>
    </w:p>
    <w:p w14:paraId="062F633B">
      <w:pPr>
        <w:spacing w:line="420" w:lineRule="exact"/>
        <w:ind w:firstLine="417" w:firstLineChars="199"/>
        <w:rPr>
          <w:rFonts w:ascii="宋体" w:hAnsi="宋体"/>
          <w:color w:val="000000"/>
        </w:rPr>
      </w:pPr>
      <w:r>
        <w:rPr>
          <w:rFonts w:hint="eastAsia" w:ascii="宋体" w:hAnsi="宋体"/>
          <w:color w:val="000000"/>
        </w:rPr>
        <w:t>3、应附有其它与投标单位、采购货物有关的荣誉证书或资料。</w:t>
      </w:r>
    </w:p>
    <w:p w14:paraId="309349EE">
      <w:pPr>
        <w:spacing w:line="420" w:lineRule="exact"/>
        <w:ind w:firstLine="417" w:firstLineChars="199"/>
        <w:rPr>
          <w:rFonts w:ascii="宋体" w:hAnsi="宋体"/>
          <w:color w:val="000000"/>
        </w:rPr>
      </w:pPr>
      <w:r>
        <w:rPr>
          <w:rFonts w:hint="eastAsia" w:ascii="宋体" w:hAnsi="宋体"/>
          <w:color w:val="000000"/>
        </w:rPr>
        <w:t>4、必须附有投标软件涉及产品要求的、国家或行业管理规定要求的、或者投标方认为能够体现其投标软件合法性及先进性的最高级别的证明材料（不涉及的除外）：</w:t>
      </w:r>
    </w:p>
    <w:p w14:paraId="179A9957">
      <w:pPr>
        <w:spacing w:line="420" w:lineRule="exact"/>
        <w:ind w:firstLine="417" w:firstLineChars="199"/>
        <w:rPr>
          <w:rFonts w:ascii="宋体" w:hAnsi="宋体"/>
          <w:color w:val="000000"/>
        </w:rPr>
      </w:pPr>
      <w:r>
        <w:rPr>
          <w:rFonts w:hint="eastAsia" w:ascii="宋体" w:hAnsi="宋体"/>
          <w:color w:val="000000"/>
        </w:rPr>
        <w:t>5.1  国家相关机构颁发的有效期之内所必需的《生产许可证》。</w:t>
      </w:r>
    </w:p>
    <w:p w14:paraId="1FB15F75">
      <w:pPr>
        <w:spacing w:line="420" w:lineRule="exact"/>
        <w:ind w:firstLine="417" w:firstLineChars="199"/>
        <w:rPr>
          <w:rFonts w:ascii="宋体" w:hAnsi="宋体"/>
          <w:color w:val="000000"/>
        </w:rPr>
      </w:pPr>
      <w:r>
        <w:rPr>
          <w:rFonts w:hint="eastAsia" w:ascii="宋体" w:hAnsi="宋体"/>
          <w:color w:val="000000"/>
        </w:rPr>
        <w:t>5.2  产品（或技术）鉴定报告/证书、专利证书或专利许可证书、新技术成果证书等。</w:t>
      </w:r>
    </w:p>
    <w:p w14:paraId="51EA106F">
      <w:pPr>
        <w:spacing w:line="420" w:lineRule="exact"/>
        <w:ind w:firstLine="420" w:firstLineChars="199"/>
        <w:rPr>
          <w:rFonts w:ascii="宋体" w:hAnsi="宋体"/>
          <w:color w:val="000000"/>
        </w:rPr>
      </w:pPr>
      <w:r>
        <w:rPr>
          <w:rFonts w:hint="eastAsia" w:ascii="宋体" w:hAnsi="宋体"/>
          <w:b/>
          <w:color w:val="000000"/>
        </w:rPr>
        <w:t>6、必须附有：</w:t>
      </w:r>
      <w:r>
        <w:rPr>
          <w:rFonts w:hint="eastAsia" w:ascii="宋体" w:hAnsi="宋体"/>
          <w:color w:val="000000"/>
        </w:rPr>
        <w:t>与本采购</w:t>
      </w:r>
      <w:r>
        <w:rPr>
          <w:rFonts w:hint="eastAsia" w:ascii="宋体" w:hAnsi="宋体"/>
          <w:color w:val="FF0000"/>
        </w:rPr>
        <w:t>软件</w:t>
      </w:r>
      <w:r>
        <w:rPr>
          <w:rFonts w:hint="eastAsia" w:ascii="宋体" w:hAnsi="宋体"/>
          <w:color w:val="000000"/>
        </w:rPr>
        <w:t>相同或相似功能的而且已经正常使用或通过验收的近三年以上的</w:t>
      </w:r>
      <w:r>
        <w:rPr>
          <w:rFonts w:hint="eastAsia" w:ascii="宋体" w:hAnsi="宋体"/>
          <w:color w:val="FF0000"/>
        </w:rPr>
        <w:t>软件</w:t>
      </w:r>
      <w:r>
        <w:rPr>
          <w:rFonts w:hint="eastAsia" w:ascii="宋体" w:hAnsi="宋体"/>
          <w:color w:val="000000"/>
        </w:rPr>
        <w:t>的市场销售业绩清单，清单中应具备：买方单位名称、软件形成、数量、（交货）时间、联系人和联系电话（非移动通信号码）等条目内容；投标方应当保证其业绩的真实性，否则将影响投标或中标资格。</w:t>
      </w:r>
    </w:p>
    <w:p w14:paraId="7FDED0EA">
      <w:pPr>
        <w:pStyle w:val="121"/>
        <w:rPr>
          <w:rFonts w:ascii="黑体" w:hAnsi="黑体"/>
          <w:sz w:val="21"/>
          <w:szCs w:val="21"/>
        </w:rPr>
      </w:pPr>
      <w:r>
        <w:rPr>
          <w:rFonts w:hint="eastAsia" w:ascii="黑体" w:hAnsi="黑体"/>
          <w:sz w:val="21"/>
          <w:szCs w:val="21"/>
        </w:rPr>
        <w:t>二、说明</w:t>
      </w:r>
    </w:p>
    <w:p w14:paraId="23FA8F21">
      <w:pPr>
        <w:spacing w:line="420" w:lineRule="exact"/>
        <w:ind w:firstLine="420" w:firstLineChars="200"/>
        <w:rPr>
          <w:rFonts w:ascii="宋体" w:hAnsi="宋体"/>
          <w:color w:val="000000"/>
        </w:rPr>
      </w:pPr>
      <w:r>
        <w:rPr>
          <w:rFonts w:hint="eastAsia" w:ascii="宋体" w:hAnsi="宋体"/>
          <w:color w:val="000000"/>
        </w:rPr>
        <w:t>1、投标方可以根据自身的技术、经验等优势以及对招标文件和本技术标书的理解，写明对招标方所采购货物的优化方案或建议意见。投标方的这些努力，招标方表示感谢，并将有助于投标方优先胜出。</w:t>
      </w:r>
    </w:p>
    <w:p w14:paraId="5FE11FD8">
      <w:pPr>
        <w:spacing w:line="420" w:lineRule="exact"/>
        <w:ind w:firstLine="420" w:firstLineChars="200"/>
        <w:rPr>
          <w:rFonts w:ascii="宋体" w:hAnsi="宋体"/>
          <w:color w:val="000000"/>
        </w:rPr>
      </w:pPr>
      <w:r>
        <w:rPr>
          <w:rFonts w:hint="eastAsia" w:ascii="宋体" w:hAnsi="宋体"/>
          <w:color w:val="000000"/>
        </w:rPr>
        <w:t>2、即使有建议意见或建议方案，仍应依据招标文件和本技术标书要求，编写符合要求的投标文件。建议方案或建议意见，应以单独篇章或文件，予以说明和报价。</w:t>
      </w:r>
    </w:p>
    <w:p w14:paraId="536C7168">
      <w:pPr>
        <w:spacing w:line="420" w:lineRule="exact"/>
        <w:ind w:firstLine="420" w:firstLineChars="200"/>
        <w:rPr>
          <w:rFonts w:ascii="宋体" w:hAnsi="宋体"/>
          <w:color w:val="000000"/>
        </w:rPr>
      </w:pPr>
      <w:r>
        <w:rPr>
          <w:rFonts w:hint="eastAsia" w:ascii="宋体" w:hAnsi="宋体"/>
          <w:color w:val="000000"/>
        </w:rPr>
        <w:t>3、招标文件、投标文件、答疑文件、技术交流文件、技术协议书等，在采购过程全部为有效文件，如有差异，以对招标方最有利的条款为准。</w:t>
      </w:r>
    </w:p>
    <w:p w14:paraId="0AC62204">
      <w:pPr>
        <w:spacing w:line="420" w:lineRule="exact"/>
        <w:ind w:firstLine="420" w:firstLineChars="200"/>
        <w:rPr>
          <w:rFonts w:ascii="宋体" w:hAnsi="宋体"/>
          <w:color w:val="000000"/>
        </w:rPr>
      </w:pPr>
      <w:r>
        <w:rPr>
          <w:rFonts w:hint="eastAsia" w:ascii="宋体" w:hAnsi="宋体"/>
          <w:color w:val="000000"/>
        </w:rPr>
        <w:t>5、为避免歧异，本技术标书涉及招投标环节的条款，均将潜在的卖方称为投标方、将买方称为招标方；定标后合同签署环节以及后续的合同执行环节条款，招标方称为买方、投标方中的中标方称为卖方。</w:t>
      </w:r>
    </w:p>
    <w:p w14:paraId="459D0EA4">
      <w:pPr>
        <w:pStyle w:val="77"/>
        <w:rPr>
          <w:b/>
          <w:bCs/>
        </w:rPr>
      </w:pPr>
    </w:p>
    <w:p w14:paraId="7FB89697">
      <w:pPr>
        <w:pStyle w:val="77"/>
        <w:rPr>
          <w:b/>
          <w:bCs/>
        </w:rPr>
      </w:pPr>
    </w:p>
    <w:p w14:paraId="6F7F6D34">
      <w:pPr>
        <w:pStyle w:val="77"/>
        <w:rPr>
          <w:b/>
          <w:bCs/>
        </w:rPr>
      </w:pPr>
    </w:p>
    <w:p w14:paraId="423DF73F">
      <w:pPr>
        <w:pStyle w:val="77"/>
      </w:pPr>
    </w:p>
    <w:p w14:paraId="5A7B642D">
      <w:pPr>
        <w:pStyle w:val="72"/>
      </w:pPr>
      <w:bookmarkStart w:id="23" w:name="_Toc47976609"/>
      <w:bookmarkStart w:id="24" w:name="_Toc20595"/>
      <w:r>
        <w:rPr>
          <w:rFonts w:hint="eastAsia"/>
        </w:rPr>
        <w:t>第三部分　合同主要条款</w:t>
      </w:r>
      <w:bookmarkEnd w:id="23"/>
      <w:bookmarkEnd w:id="24"/>
    </w:p>
    <w:p w14:paraId="26438586">
      <w:pPr>
        <w:pStyle w:val="73"/>
        <w:numPr>
          <w:ilvl w:val="0"/>
          <w:numId w:val="26"/>
        </w:numPr>
        <w:ind w:left="420"/>
      </w:pPr>
      <w:bookmarkStart w:id="25" w:name="_Toc47976610"/>
      <w:r>
        <w:rPr>
          <w:rFonts w:hint="eastAsia"/>
        </w:rPr>
        <w:t>标的、数量、交货期</w:t>
      </w:r>
      <w:bookmarkEnd w:id="25"/>
    </w:p>
    <w:p w14:paraId="4EA65606">
      <w:pPr>
        <w:pStyle w:val="3"/>
        <w:tabs>
          <w:tab w:val="left" w:pos="709"/>
        </w:tabs>
        <w:spacing w:before="0" w:after="0" w:line="360" w:lineRule="auto"/>
        <w:ind w:left="142"/>
        <w:rPr>
          <w:rFonts w:ascii="宋体" w:hAnsi="宋体"/>
          <w:sz w:val="24"/>
          <w:szCs w:val="24"/>
        </w:rPr>
      </w:pPr>
      <w:r>
        <w:rPr>
          <w:rFonts w:hint="eastAsia" w:ascii="宋体" w:hAnsi="宋体"/>
          <w:sz w:val="24"/>
          <w:szCs w:val="24"/>
        </w:rPr>
        <w:t>软件产品清单</w:t>
      </w:r>
    </w:p>
    <w:tbl>
      <w:tblPr>
        <w:tblStyle w:val="31"/>
        <w:tblW w:w="83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27"/>
        <w:gridCol w:w="1077"/>
        <w:gridCol w:w="1732"/>
        <w:gridCol w:w="2573"/>
      </w:tblGrid>
      <w:tr w14:paraId="41478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2927" w:type="dxa"/>
            <w:tcBorders>
              <w:top w:val="single" w:color="auto" w:sz="4" w:space="0"/>
              <w:left w:val="single" w:color="auto" w:sz="4" w:space="0"/>
              <w:bottom w:val="single" w:color="auto" w:sz="4" w:space="0"/>
              <w:right w:val="single" w:color="auto" w:sz="4" w:space="0"/>
            </w:tcBorders>
            <w:shd w:val="clear" w:color="auto" w:fill="C0C0C0"/>
            <w:vAlign w:val="center"/>
          </w:tcPr>
          <w:p w14:paraId="108D39B5">
            <w:pPr>
              <w:spacing w:line="360" w:lineRule="auto"/>
              <w:ind w:firstLine="482" w:firstLineChars="200"/>
              <w:outlineLvl w:val="0"/>
              <w:rPr>
                <w:rFonts w:ascii="宋体" w:hAnsi="宋体"/>
                <w:b/>
                <w:sz w:val="24"/>
                <w:szCs w:val="24"/>
              </w:rPr>
            </w:pPr>
            <w:r>
              <w:rPr>
                <w:rFonts w:hint="eastAsia" w:ascii="宋体" w:hAnsi="宋体"/>
                <w:b/>
                <w:sz w:val="24"/>
                <w:szCs w:val="24"/>
              </w:rPr>
              <w:t>产品名称</w:t>
            </w:r>
          </w:p>
        </w:tc>
        <w:tc>
          <w:tcPr>
            <w:tcW w:w="1077" w:type="dxa"/>
            <w:tcBorders>
              <w:top w:val="single" w:color="auto" w:sz="4" w:space="0"/>
              <w:left w:val="single" w:color="auto" w:sz="4" w:space="0"/>
              <w:bottom w:val="single" w:color="auto" w:sz="4" w:space="0"/>
              <w:right w:val="single" w:color="auto" w:sz="4" w:space="0"/>
            </w:tcBorders>
            <w:shd w:val="clear" w:color="auto" w:fill="C0C0C0"/>
            <w:vAlign w:val="center"/>
          </w:tcPr>
          <w:p w14:paraId="4EE324C2">
            <w:pPr>
              <w:spacing w:line="360" w:lineRule="auto"/>
              <w:jc w:val="center"/>
              <w:outlineLvl w:val="0"/>
              <w:rPr>
                <w:rFonts w:ascii="宋体" w:hAnsi="宋体"/>
                <w:b/>
                <w:sz w:val="24"/>
                <w:szCs w:val="24"/>
              </w:rPr>
            </w:pPr>
            <w:r>
              <w:rPr>
                <w:rFonts w:hint="eastAsia" w:ascii="宋体" w:hAnsi="宋体"/>
                <w:b/>
                <w:sz w:val="24"/>
                <w:szCs w:val="24"/>
              </w:rPr>
              <w:t>数量</w:t>
            </w:r>
          </w:p>
        </w:tc>
        <w:tc>
          <w:tcPr>
            <w:tcW w:w="1732" w:type="dxa"/>
            <w:tcBorders>
              <w:top w:val="single" w:color="auto" w:sz="4" w:space="0"/>
              <w:left w:val="single" w:color="auto" w:sz="4" w:space="0"/>
              <w:bottom w:val="single" w:color="auto" w:sz="4" w:space="0"/>
              <w:right w:val="single" w:color="auto" w:sz="4" w:space="0"/>
            </w:tcBorders>
            <w:shd w:val="clear" w:color="auto" w:fill="C0C0C0"/>
            <w:vAlign w:val="center"/>
          </w:tcPr>
          <w:p w14:paraId="797E9657">
            <w:pPr>
              <w:spacing w:line="360" w:lineRule="auto"/>
              <w:ind w:left="357" w:hanging="357" w:hangingChars="148"/>
              <w:jc w:val="center"/>
              <w:outlineLvl w:val="0"/>
              <w:rPr>
                <w:rFonts w:ascii="宋体" w:hAnsi="宋体"/>
                <w:b/>
                <w:sz w:val="24"/>
                <w:szCs w:val="24"/>
              </w:rPr>
            </w:pPr>
            <w:r>
              <w:rPr>
                <w:rFonts w:hint="eastAsia" w:ascii="宋体" w:hAnsi="宋体"/>
                <w:b/>
                <w:sz w:val="24"/>
                <w:szCs w:val="24"/>
              </w:rPr>
              <w:t>金额（万元）</w:t>
            </w:r>
          </w:p>
        </w:tc>
        <w:tc>
          <w:tcPr>
            <w:tcW w:w="2573" w:type="dxa"/>
            <w:tcBorders>
              <w:top w:val="single" w:color="auto" w:sz="4" w:space="0"/>
              <w:left w:val="single" w:color="auto" w:sz="4" w:space="0"/>
              <w:bottom w:val="single" w:color="auto" w:sz="4" w:space="0"/>
              <w:right w:val="single" w:color="auto" w:sz="4" w:space="0"/>
            </w:tcBorders>
            <w:shd w:val="clear" w:color="auto" w:fill="C0C0C0"/>
            <w:vAlign w:val="center"/>
          </w:tcPr>
          <w:p w14:paraId="13CB02EC">
            <w:pPr>
              <w:spacing w:line="360" w:lineRule="auto"/>
              <w:jc w:val="center"/>
              <w:outlineLvl w:val="0"/>
              <w:rPr>
                <w:rFonts w:ascii="宋体" w:hAnsi="宋体"/>
                <w:b/>
                <w:sz w:val="24"/>
                <w:szCs w:val="24"/>
              </w:rPr>
            </w:pPr>
            <w:r>
              <w:rPr>
                <w:rFonts w:hint="eastAsia" w:ascii="宋体" w:hAnsi="宋体"/>
                <w:b/>
                <w:sz w:val="24"/>
                <w:szCs w:val="24"/>
              </w:rPr>
              <w:t>备注</w:t>
            </w:r>
          </w:p>
        </w:tc>
      </w:tr>
      <w:tr w14:paraId="47558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2927" w:type="dxa"/>
            <w:tcBorders>
              <w:top w:val="single" w:color="auto" w:sz="4" w:space="0"/>
              <w:left w:val="single" w:color="auto" w:sz="4" w:space="0"/>
              <w:bottom w:val="single" w:color="auto" w:sz="4" w:space="0"/>
              <w:right w:val="single" w:color="auto" w:sz="4" w:space="0"/>
            </w:tcBorders>
            <w:vAlign w:val="center"/>
          </w:tcPr>
          <w:p w14:paraId="022F46F5">
            <w:pPr>
              <w:spacing w:line="360" w:lineRule="auto"/>
              <w:ind w:left="15" w:firstLine="70" w:firstLineChars="25"/>
              <w:jc w:val="left"/>
              <w:outlineLvl w:val="0"/>
              <w:rPr>
                <w:rFonts w:ascii="宋体" w:hAnsi="宋体"/>
                <w:sz w:val="24"/>
                <w:szCs w:val="24"/>
              </w:rPr>
            </w:pPr>
            <w:r>
              <w:rPr>
                <w:rFonts w:hint="eastAsia" w:ascii="仿宋_GB2312" w:hAnsi="黑体" w:eastAsia="仿宋_GB2312"/>
                <w:color w:val="000000" w:themeColor="text1"/>
                <w:sz w:val="28"/>
                <w:szCs w:val="28"/>
                <w14:textFill>
                  <w14:solidFill>
                    <w14:schemeClr w14:val="tx1"/>
                  </w14:solidFill>
                </w14:textFill>
              </w:rPr>
              <w:t>E</w:t>
            </w:r>
            <w:r>
              <w:rPr>
                <w:rFonts w:ascii="仿宋_GB2312" w:hAnsi="黑体" w:eastAsia="仿宋_GB2312"/>
                <w:color w:val="000000" w:themeColor="text1"/>
                <w:sz w:val="28"/>
                <w:szCs w:val="28"/>
                <w14:textFill>
                  <w14:solidFill>
                    <w14:schemeClr w14:val="tx1"/>
                  </w14:solidFill>
                </w14:textFill>
              </w:rPr>
              <w:t>3.</w:t>
            </w:r>
            <w:r>
              <w:rPr>
                <w:rFonts w:hint="eastAsia" w:ascii="仿宋_GB2312" w:hAnsi="黑体" w:eastAsia="仿宋_GB2312"/>
                <w:color w:val="000000" w:themeColor="text1"/>
                <w:sz w:val="28"/>
                <w:szCs w:val="28"/>
                <w14:textFill>
                  <w14:solidFill>
                    <w14:schemeClr w14:val="tx1"/>
                  </w14:solidFill>
                </w14:textFill>
              </w:rPr>
              <w:t>cable 原理图（2</w:t>
            </w:r>
            <w:r>
              <w:rPr>
                <w:rFonts w:ascii="仿宋_GB2312" w:hAnsi="黑体" w:eastAsia="仿宋_GB2312"/>
                <w:color w:val="000000" w:themeColor="text1"/>
                <w:sz w:val="28"/>
                <w:szCs w:val="28"/>
                <w14:textFill>
                  <w14:solidFill>
                    <w14:schemeClr w14:val="tx1"/>
                  </w14:solidFill>
                </w14:textFill>
              </w:rPr>
              <w:t>025</w:t>
            </w:r>
            <w:r>
              <w:rPr>
                <w:rFonts w:hint="eastAsia" w:ascii="仿宋_GB2312" w:hAnsi="黑体" w:eastAsia="仿宋_GB2312"/>
                <w:color w:val="000000" w:themeColor="text1"/>
                <w:sz w:val="28"/>
                <w:szCs w:val="28"/>
                <w14:textFill>
                  <w14:solidFill>
                    <w14:schemeClr w14:val="tx1"/>
                  </w14:solidFill>
                </w14:textFill>
              </w:rPr>
              <w:t>版）</w:t>
            </w:r>
          </w:p>
        </w:tc>
        <w:tc>
          <w:tcPr>
            <w:tcW w:w="1077" w:type="dxa"/>
            <w:tcBorders>
              <w:top w:val="single" w:color="auto" w:sz="4" w:space="0"/>
              <w:left w:val="single" w:color="auto" w:sz="4" w:space="0"/>
              <w:bottom w:val="single" w:color="auto" w:sz="4" w:space="0"/>
              <w:right w:val="single" w:color="auto" w:sz="4" w:space="0"/>
            </w:tcBorders>
            <w:vAlign w:val="center"/>
          </w:tcPr>
          <w:p w14:paraId="098703AA">
            <w:pPr>
              <w:spacing w:line="360" w:lineRule="auto"/>
              <w:ind w:left="93"/>
              <w:jc w:val="center"/>
              <w:outlineLvl w:val="0"/>
              <w:rPr>
                <w:rFonts w:ascii="宋体" w:hAnsi="宋体"/>
                <w:sz w:val="24"/>
                <w:szCs w:val="24"/>
              </w:rPr>
            </w:pPr>
            <w:r>
              <w:rPr>
                <w:rFonts w:hint="eastAsia" w:ascii="仿宋_GB2312" w:hAnsi="黑体" w:eastAsia="仿宋_GB2312"/>
                <w:color w:val="000000" w:themeColor="text1"/>
                <w:sz w:val="28"/>
                <w:szCs w:val="28"/>
                <w14:textFill>
                  <w14:solidFill>
                    <w14:schemeClr w14:val="tx1"/>
                  </w14:solidFill>
                </w14:textFill>
              </w:rPr>
              <w:t>9</w:t>
            </w:r>
          </w:p>
        </w:tc>
        <w:tc>
          <w:tcPr>
            <w:tcW w:w="1732" w:type="dxa"/>
            <w:tcBorders>
              <w:top w:val="single" w:color="auto" w:sz="4" w:space="0"/>
              <w:left w:val="single" w:color="auto" w:sz="4" w:space="0"/>
              <w:bottom w:val="single" w:color="auto" w:sz="4" w:space="0"/>
              <w:right w:val="single" w:color="auto" w:sz="4" w:space="0"/>
            </w:tcBorders>
            <w:vAlign w:val="center"/>
          </w:tcPr>
          <w:p w14:paraId="2ECCF5D5">
            <w:pPr>
              <w:spacing w:line="360" w:lineRule="auto"/>
              <w:ind w:left="1" w:leftChars="-6" w:hanging="14" w:hangingChars="5"/>
              <w:jc w:val="center"/>
              <w:outlineLvl w:val="0"/>
              <w:rPr>
                <w:rFonts w:ascii="宋体" w:hAnsi="宋体"/>
                <w:sz w:val="24"/>
                <w:szCs w:val="24"/>
              </w:rPr>
            </w:pPr>
            <w:r>
              <w:rPr>
                <w:rFonts w:hint="eastAsia" w:ascii="仿宋_GB2312" w:hAnsi="黑体" w:eastAsia="仿宋_GB2312"/>
                <w:color w:val="000000" w:themeColor="text1"/>
                <w:sz w:val="28"/>
                <w:szCs w:val="28"/>
                <w14:textFill>
                  <w14:solidFill>
                    <w14:schemeClr w14:val="tx1"/>
                  </w14:solidFill>
                </w14:textFill>
              </w:rPr>
              <w:t>2</w:t>
            </w:r>
            <w:r>
              <w:rPr>
                <w:rFonts w:ascii="仿宋_GB2312" w:hAnsi="黑体" w:eastAsia="仿宋_GB2312"/>
                <w:color w:val="000000" w:themeColor="text1"/>
                <w:sz w:val="28"/>
                <w:szCs w:val="28"/>
                <w14:textFill>
                  <w14:solidFill>
                    <w14:schemeClr w14:val="tx1"/>
                  </w14:solidFill>
                </w14:textFill>
              </w:rPr>
              <w:t>20.572</w:t>
            </w:r>
          </w:p>
        </w:tc>
        <w:tc>
          <w:tcPr>
            <w:tcW w:w="2573" w:type="dxa"/>
            <w:tcBorders>
              <w:top w:val="single" w:color="auto" w:sz="4" w:space="0"/>
              <w:left w:val="single" w:color="auto" w:sz="4" w:space="0"/>
              <w:bottom w:val="single" w:color="auto" w:sz="4" w:space="0"/>
              <w:right w:val="single" w:color="auto" w:sz="4" w:space="0"/>
            </w:tcBorders>
            <w:vAlign w:val="center"/>
          </w:tcPr>
          <w:p w14:paraId="1A4EDB85">
            <w:pPr>
              <w:spacing w:line="360" w:lineRule="auto"/>
              <w:rPr>
                <w:rFonts w:ascii="宋体" w:hAnsi="宋体"/>
                <w:sz w:val="24"/>
                <w:szCs w:val="24"/>
              </w:rPr>
            </w:pPr>
          </w:p>
        </w:tc>
      </w:tr>
      <w:tr w14:paraId="1647D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2927" w:type="dxa"/>
            <w:tcBorders>
              <w:top w:val="single" w:color="auto" w:sz="4" w:space="0"/>
              <w:left w:val="single" w:color="auto" w:sz="4" w:space="0"/>
              <w:bottom w:val="single" w:color="auto" w:sz="4" w:space="0"/>
              <w:right w:val="single" w:color="auto" w:sz="4" w:space="0"/>
            </w:tcBorders>
            <w:vAlign w:val="center"/>
          </w:tcPr>
          <w:p w14:paraId="01EA6C4A">
            <w:pPr>
              <w:spacing w:line="360" w:lineRule="auto"/>
              <w:ind w:left="15" w:firstLine="70" w:firstLineChars="25"/>
              <w:jc w:val="left"/>
              <w:outlineLvl w:val="0"/>
              <w:rPr>
                <w:rFonts w:hint="eastAsia" w:ascii="仿宋_GB2312" w:hAnsi="黑体" w:eastAsia="仿宋_GB2312"/>
                <w:color w:val="000000" w:themeColor="text1"/>
                <w:sz w:val="28"/>
                <w:szCs w:val="28"/>
                <w14:textFill>
                  <w14:solidFill>
                    <w14:schemeClr w14:val="tx1"/>
                  </w14:solidFill>
                </w14:textFill>
              </w:rPr>
            </w:pPr>
            <w:r>
              <w:rPr>
                <w:rFonts w:hint="eastAsia" w:ascii="仿宋_GB2312" w:hAnsi="黑体" w:eastAsia="仿宋_GB2312"/>
                <w:color w:val="000000" w:themeColor="text1"/>
                <w:sz w:val="28"/>
                <w:szCs w:val="28"/>
                <w14:textFill>
                  <w14:solidFill>
                    <w14:schemeClr w14:val="tx1"/>
                  </w14:solidFill>
                </w14:textFill>
              </w:rPr>
              <w:t>E</w:t>
            </w:r>
            <w:r>
              <w:rPr>
                <w:rFonts w:ascii="仿宋_GB2312" w:hAnsi="黑体" w:eastAsia="仿宋_GB2312"/>
                <w:color w:val="000000" w:themeColor="text1"/>
                <w:sz w:val="28"/>
                <w:szCs w:val="28"/>
                <w14:textFill>
                  <w14:solidFill>
                    <w14:schemeClr w14:val="tx1"/>
                  </w14:solidFill>
                </w14:textFill>
              </w:rPr>
              <w:t>3.</w:t>
            </w:r>
            <w:r>
              <w:rPr>
                <w:rFonts w:hint="eastAsia" w:ascii="仿宋_GB2312" w:hAnsi="黑体" w:eastAsia="仿宋_GB2312"/>
                <w:color w:val="000000" w:themeColor="text1"/>
                <w:sz w:val="28"/>
                <w:szCs w:val="28"/>
                <w14:textFill>
                  <w14:solidFill>
                    <w14:schemeClr w14:val="tx1"/>
                  </w14:solidFill>
                </w14:textFill>
              </w:rPr>
              <w:t>F</w:t>
            </w:r>
            <w:r>
              <w:rPr>
                <w:rFonts w:ascii="仿宋_GB2312" w:hAnsi="黑体" w:eastAsia="仿宋_GB2312"/>
                <w:color w:val="000000" w:themeColor="text1"/>
                <w:sz w:val="28"/>
                <w:szCs w:val="28"/>
                <w14:textFill>
                  <w14:solidFill>
                    <w14:schemeClr w14:val="tx1"/>
                  </w14:solidFill>
                </w14:textFill>
              </w:rPr>
              <w:t>ormboard</w:t>
            </w:r>
            <w:r>
              <w:rPr>
                <w:rFonts w:hint="eastAsia" w:ascii="仿宋_GB2312" w:hAnsi="黑体" w:eastAsia="仿宋_GB2312"/>
                <w:color w:val="000000" w:themeColor="text1"/>
                <w:sz w:val="28"/>
                <w:szCs w:val="28"/>
                <w14:textFill>
                  <w14:solidFill>
                    <w14:schemeClr w14:val="tx1"/>
                  </w14:solidFill>
                </w14:textFill>
              </w:rPr>
              <w:t>（2</w:t>
            </w:r>
            <w:r>
              <w:rPr>
                <w:rFonts w:ascii="仿宋_GB2312" w:hAnsi="黑体" w:eastAsia="仿宋_GB2312"/>
                <w:color w:val="000000" w:themeColor="text1"/>
                <w:sz w:val="28"/>
                <w:szCs w:val="28"/>
                <w14:textFill>
                  <w14:solidFill>
                    <w14:schemeClr w14:val="tx1"/>
                  </w14:solidFill>
                </w14:textFill>
              </w:rPr>
              <w:t>025</w:t>
            </w:r>
            <w:r>
              <w:rPr>
                <w:rFonts w:hint="eastAsia" w:ascii="仿宋_GB2312" w:hAnsi="黑体" w:eastAsia="仿宋_GB2312"/>
                <w:color w:val="000000" w:themeColor="text1"/>
                <w:sz w:val="28"/>
                <w:szCs w:val="28"/>
                <w14:textFill>
                  <w14:solidFill>
                    <w14:schemeClr w14:val="tx1"/>
                  </w14:solidFill>
                </w14:textFill>
              </w:rPr>
              <w:t>版）</w:t>
            </w:r>
          </w:p>
        </w:tc>
        <w:tc>
          <w:tcPr>
            <w:tcW w:w="1077" w:type="dxa"/>
            <w:tcBorders>
              <w:top w:val="single" w:color="auto" w:sz="4" w:space="0"/>
              <w:left w:val="single" w:color="auto" w:sz="4" w:space="0"/>
              <w:bottom w:val="single" w:color="auto" w:sz="4" w:space="0"/>
              <w:right w:val="single" w:color="auto" w:sz="4" w:space="0"/>
            </w:tcBorders>
            <w:vAlign w:val="center"/>
          </w:tcPr>
          <w:p w14:paraId="48899306">
            <w:pPr>
              <w:spacing w:line="360" w:lineRule="auto"/>
              <w:ind w:left="93"/>
              <w:jc w:val="center"/>
              <w:outlineLvl w:val="0"/>
              <w:rPr>
                <w:rFonts w:hint="eastAsia" w:ascii="仿宋_GB2312" w:hAnsi="黑体" w:eastAsia="仿宋_GB2312"/>
                <w:color w:val="000000" w:themeColor="text1"/>
                <w:sz w:val="28"/>
                <w:szCs w:val="28"/>
                <w14:textFill>
                  <w14:solidFill>
                    <w14:schemeClr w14:val="tx1"/>
                  </w14:solidFill>
                </w14:textFill>
              </w:rPr>
            </w:pPr>
            <w:r>
              <w:rPr>
                <w:rFonts w:hint="eastAsia" w:ascii="仿宋_GB2312" w:hAnsi="黑体" w:eastAsia="仿宋_GB2312"/>
                <w:color w:val="000000" w:themeColor="text1"/>
                <w:sz w:val="28"/>
                <w:szCs w:val="28"/>
                <w14:textFill>
                  <w14:solidFill>
                    <w14:schemeClr w14:val="tx1"/>
                  </w14:solidFill>
                </w14:textFill>
              </w:rPr>
              <w:t>9</w:t>
            </w:r>
          </w:p>
        </w:tc>
        <w:tc>
          <w:tcPr>
            <w:tcW w:w="1732" w:type="dxa"/>
            <w:tcBorders>
              <w:top w:val="single" w:color="auto" w:sz="4" w:space="0"/>
              <w:left w:val="single" w:color="auto" w:sz="4" w:space="0"/>
              <w:bottom w:val="single" w:color="auto" w:sz="4" w:space="0"/>
              <w:right w:val="single" w:color="auto" w:sz="4" w:space="0"/>
            </w:tcBorders>
            <w:vAlign w:val="center"/>
          </w:tcPr>
          <w:p w14:paraId="09B59D93">
            <w:pPr>
              <w:spacing w:line="360" w:lineRule="auto"/>
              <w:ind w:left="1" w:leftChars="-6" w:hanging="14" w:hangingChars="5"/>
              <w:jc w:val="center"/>
              <w:outlineLvl w:val="0"/>
              <w:rPr>
                <w:rFonts w:hint="eastAsia" w:ascii="仿宋_GB2312" w:hAnsi="黑体" w:eastAsia="仿宋_GB2312"/>
                <w:color w:val="000000" w:themeColor="text1"/>
                <w:sz w:val="28"/>
                <w:szCs w:val="28"/>
                <w14:textFill>
                  <w14:solidFill>
                    <w14:schemeClr w14:val="tx1"/>
                  </w14:solidFill>
                </w14:textFill>
              </w:rPr>
            </w:pPr>
            <w:r>
              <w:rPr>
                <w:rFonts w:hint="eastAsia" w:ascii="仿宋_GB2312" w:hAnsi="黑体" w:eastAsia="仿宋_GB2312"/>
                <w:color w:val="000000" w:themeColor="text1"/>
                <w:sz w:val="28"/>
                <w:szCs w:val="28"/>
                <w14:textFill>
                  <w14:solidFill>
                    <w14:schemeClr w14:val="tx1"/>
                  </w14:solidFill>
                </w14:textFill>
              </w:rPr>
              <w:t>5</w:t>
            </w:r>
            <w:r>
              <w:rPr>
                <w:rFonts w:ascii="仿宋_GB2312" w:hAnsi="黑体" w:eastAsia="仿宋_GB2312"/>
                <w:color w:val="000000" w:themeColor="text1"/>
                <w:sz w:val="28"/>
                <w:szCs w:val="28"/>
                <w14:textFill>
                  <w14:solidFill>
                    <w14:schemeClr w14:val="tx1"/>
                  </w14:solidFill>
                </w14:textFill>
              </w:rPr>
              <w:t>7.816</w:t>
            </w:r>
          </w:p>
        </w:tc>
        <w:tc>
          <w:tcPr>
            <w:tcW w:w="2573" w:type="dxa"/>
            <w:tcBorders>
              <w:top w:val="single" w:color="auto" w:sz="4" w:space="0"/>
              <w:left w:val="single" w:color="auto" w:sz="4" w:space="0"/>
              <w:bottom w:val="single" w:color="auto" w:sz="4" w:space="0"/>
              <w:right w:val="single" w:color="auto" w:sz="4" w:space="0"/>
            </w:tcBorders>
            <w:vAlign w:val="center"/>
          </w:tcPr>
          <w:p w14:paraId="7D3CDD09">
            <w:pPr>
              <w:spacing w:line="360" w:lineRule="auto"/>
              <w:rPr>
                <w:rFonts w:ascii="宋体" w:hAnsi="宋体"/>
                <w:sz w:val="24"/>
                <w:szCs w:val="24"/>
              </w:rPr>
            </w:pPr>
          </w:p>
        </w:tc>
      </w:tr>
      <w:tr w14:paraId="7A461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2927" w:type="dxa"/>
            <w:tcBorders>
              <w:top w:val="single" w:color="auto" w:sz="4" w:space="0"/>
              <w:left w:val="single" w:color="auto" w:sz="4" w:space="0"/>
              <w:bottom w:val="single" w:color="auto" w:sz="4" w:space="0"/>
              <w:right w:val="single" w:color="auto" w:sz="4" w:space="0"/>
            </w:tcBorders>
            <w:vAlign w:val="center"/>
          </w:tcPr>
          <w:p w14:paraId="29D34859">
            <w:pPr>
              <w:spacing w:line="360" w:lineRule="auto"/>
              <w:ind w:left="15" w:firstLine="70" w:firstLineChars="25"/>
              <w:jc w:val="left"/>
              <w:outlineLvl w:val="0"/>
              <w:rPr>
                <w:rFonts w:hint="eastAsia" w:ascii="仿宋_GB2312" w:hAnsi="黑体" w:eastAsia="仿宋_GB2312"/>
                <w:color w:val="000000" w:themeColor="text1"/>
                <w:sz w:val="28"/>
                <w:szCs w:val="28"/>
                <w14:textFill>
                  <w14:solidFill>
                    <w14:schemeClr w14:val="tx1"/>
                  </w14:solidFill>
                </w14:textFill>
              </w:rPr>
            </w:pPr>
            <w:r>
              <w:rPr>
                <w:rFonts w:hint="eastAsia" w:ascii="仿宋_GB2312" w:hAnsi="黑体" w:eastAsia="仿宋_GB2312"/>
                <w:color w:val="000000" w:themeColor="text1"/>
                <w:sz w:val="28"/>
                <w:szCs w:val="28"/>
                <w14:textFill>
                  <w14:solidFill>
                    <w14:schemeClr w14:val="tx1"/>
                  </w14:solidFill>
                </w14:textFill>
              </w:rPr>
              <w:t>P</w:t>
            </w:r>
            <w:r>
              <w:rPr>
                <w:rFonts w:ascii="仿宋_GB2312" w:hAnsi="黑体" w:eastAsia="仿宋_GB2312"/>
                <w:color w:val="000000" w:themeColor="text1"/>
                <w:sz w:val="28"/>
                <w:szCs w:val="28"/>
                <w14:textFill>
                  <w14:solidFill>
                    <w14:schemeClr w14:val="tx1"/>
                  </w14:solidFill>
                </w14:textFill>
              </w:rPr>
              <w:t>DM</w:t>
            </w:r>
            <w:r>
              <w:rPr>
                <w:rFonts w:hint="eastAsia" w:ascii="仿宋_GB2312" w:hAnsi="黑体" w:eastAsia="仿宋_GB2312"/>
                <w:color w:val="000000" w:themeColor="text1"/>
                <w:sz w:val="28"/>
                <w:szCs w:val="28"/>
                <w14:textFill>
                  <w14:solidFill>
                    <w14:schemeClr w14:val="tx1"/>
                  </w14:solidFill>
                </w14:textFill>
              </w:rPr>
              <w:t>集成（E</w:t>
            </w:r>
            <w:r>
              <w:rPr>
                <w:rFonts w:ascii="仿宋_GB2312" w:hAnsi="黑体" w:eastAsia="仿宋_GB2312"/>
                <w:color w:val="000000" w:themeColor="text1"/>
                <w:sz w:val="28"/>
                <w:szCs w:val="28"/>
                <w14:textFill>
                  <w14:solidFill>
                    <w14:schemeClr w14:val="tx1"/>
                  </w14:solidFill>
                </w14:textFill>
              </w:rPr>
              <w:t>3</w:t>
            </w:r>
            <w:r>
              <w:rPr>
                <w:rFonts w:hint="eastAsia" w:ascii="仿宋_GB2312" w:hAnsi="黑体" w:eastAsia="仿宋_GB2312"/>
                <w:color w:val="000000" w:themeColor="text1"/>
                <w:sz w:val="28"/>
                <w:szCs w:val="28"/>
                <w14:textFill>
                  <w14:solidFill>
                    <w14:schemeClr w14:val="tx1"/>
                  </w14:solidFill>
                </w14:textFill>
              </w:rPr>
              <w:t>端）</w:t>
            </w:r>
          </w:p>
        </w:tc>
        <w:tc>
          <w:tcPr>
            <w:tcW w:w="1077" w:type="dxa"/>
            <w:tcBorders>
              <w:top w:val="single" w:color="auto" w:sz="4" w:space="0"/>
              <w:left w:val="single" w:color="auto" w:sz="4" w:space="0"/>
              <w:bottom w:val="single" w:color="auto" w:sz="4" w:space="0"/>
              <w:right w:val="single" w:color="auto" w:sz="4" w:space="0"/>
            </w:tcBorders>
            <w:vAlign w:val="center"/>
          </w:tcPr>
          <w:p w14:paraId="311680A7">
            <w:pPr>
              <w:spacing w:line="360" w:lineRule="auto"/>
              <w:ind w:left="93"/>
              <w:jc w:val="center"/>
              <w:outlineLvl w:val="0"/>
              <w:rPr>
                <w:rFonts w:hint="eastAsia" w:ascii="仿宋_GB2312" w:hAnsi="黑体" w:eastAsia="仿宋_GB2312"/>
                <w:color w:val="000000" w:themeColor="text1"/>
                <w:sz w:val="28"/>
                <w:szCs w:val="28"/>
                <w14:textFill>
                  <w14:solidFill>
                    <w14:schemeClr w14:val="tx1"/>
                  </w14:solidFill>
                </w14:textFill>
              </w:rPr>
            </w:pPr>
            <w:r>
              <w:rPr>
                <w:rFonts w:hint="eastAsia" w:ascii="仿宋_GB2312" w:hAnsi="黑体" w:eastAsia="仿宋_GB2312"/>
                <w:color w:val="000000" w:themeColor="text1"/>
                <w:sz w:val="28"/>
                <w:szCs w:val="28"/>
                <w14:textFill>
                  <w14:solidFill>
                    <w14:schemeClr w14:val="tx1"/>
                  </w14:solidFill>
                </w14:textFill>
              </w:rPr>
              <w:t>1</w:t>
            </w:r>
          </w:p>
        </w:tc>
        <w:tc>
          <w:tcPr>
            <w:tcW w:w="1732" w:type="dxa"/>
            <w:tcBorders>
              <w:top w:val="single" w:color="auto" w:sz="4" w:space="0"/>
              <w:left w:val="single" w:color="auto" w:sz="4" w:space="0"/>
              <w:bottom w:val="single" w:color="auto" w:sz="4" w:space="0"/>
              <w:right w:val="single" w:color="auto" w:sz="4" w:space="0"/>
            </w:tcBorders>
            <w:vAlign w:val="center"/>
          </w:tcPr>
          <w:p w14:paraId="789AC272">
            <w:pPr>
              <w:spacing w:line="360" w:lineRule="auto"/>
              <w:ind w:left="1" w:leftChars="-6" w:hanging="14" w:hangingChars="5"/>
              <w:jc w:val="center"/>
              <w:outlineLvl w:val="0"/>
              <w:rPr>
                <w:rFonts w:hint="eastAsia" w:ascii="仿宋_GB2312" w:hAnsi="黑体" w:eastAsia="仿宋_GB2312"/>
                <w:color w:val="000000" w:themeColor="text1"/>
                <w:sz w:val="28"/>
                <w:szCs w:val="28"/>
                <w14:textFill>
                  <w14:solidFill>
                    <w14:schemeClr w14:val="tx1"/>
                  </w14:solidFill>
                </w14:textFill>
              </w:rPr>
            </w:pPr>
            <w:r>
              <w:rPr>
                <w:rFonts w:hint="eastAsia" w:ascii="仿宋_GB2312" w:hAnsi="黑体" w:eastAsia="仿宋_GB2312"/>
                <w:color w:val="000000" w:themeColor="text1"/>
                <w:sz w:val="28"/>
                <w:szCs w:val="28"/>
                <w14:textFill>
                  <w14:solidFill>
                    <w14:schemeClr w14:val="tx1"/>
                  </w14:solidFill>
                </w14:textFill>
              </w:rPr>
              <w:t>2</w:t>
            </w:r>
            <w:r>
              <w:rPr>
                <w:rFonts w:ascii="仿宋_GB2312" w:hAnsi="黑体" w:eastAsia="仿宋_GB2312"/>
                <w:color w:val="000000" w:themeColor="text1"/>
                <w:sz w:val="28"/>
                <w:szCs w:val="28"/>
                <w14:textFill>
                  <w14:solidFill>
                    <w14:schemeClr w14:val="tx1"/>
                  </w14:solidFill>
                </w14:textFill>
              </w:rPr>
              <w:t>1.428</w:t>
            </w:r>
          </w:p>
        </w:tc>
        <w:tc>
          <w:tcPr>
            <w:tcW w:w="2573" w:type="dxa"/>
            <w:tcBorders>
              <w:top w:val="single" w:color="auto" w:sz="4" w:space="0"/>
              <w:left w:val="single" w:color="auto" w:sz="4" w:space="0"/>
              <w:bottom w:val="single" w:color="auto" w:sz="4" w:space="0"/>
              <w:right w:val="single" w:color="auto" w:sz="4" w:space="0"/>
            </w:tcBorders>
            <w:vAlign w:val="center"/>
          </w:tcPr>
          <w:p w14:paraId="534039D8">
            <w:pPr>
              <w:spacing w:line="360" w:lineRule="auto"/>
              <w:rPr>
                <w:rFonts w:ascii="宋体" w:hAnsi="宋体"/>
                <w:sz w:val="24"/>
                <w:szCs w:val="24"/>
              </w:rPr>
            </w:pPr>
          </w:p>
        </w:tc>
      </w:tr>
      <w:tr w14:paraId="4E0C5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1" w:hRule="atLeast"/>
          <w:jc w:val="center"/>
        </w:trPr>
        <w:tc>
          <w:tcPr>
            <w:tcW w:w="2927" w:type="dxa"/>
            <w:tcBorders>
              <w:top w:val="single" w:color="auto" w:sz="4" w:space="0"/>
              <w:left w:val="single" w:color="auto" w:sz="4" w:space="0"/>
              <w:bottom w:val="single" w:color="auto" w:sz="4" w:space="0"/>
              <w:right w:val="single" w:color="auto" w:sz="4" w:space="0"/>
            </w:tcBorders>
          </w:tcPr>
          <w:p w14:paraId="7201CFB8">
            <w:pPr>
              <w:spacing w:line="360" w:lineRule="auto"/>
              <w:ind w:left="210" w:leftChars="100"/>
              <w:outlineLvl w:val="0"/>
              <w:rPr>
                <w:rFonts w:hint="eastAsia" w:ascii="宋体" w:hAnsi="宋体"/>
                <w:b/>
                <w:sz w:val="24"/>
                <w:szCs w:val="24"/>
              </w:rPr>
            </w:pPr>
            <w:r>
              <w:rPr>
                <w:rFonts w:hint="eastAsia" w:ascii="宋体" w:hAnsi="宋体"/>
                <w:b/>
                <w:sz w:val="24"/>
                <w:szCs w:val="24"/>
              </w:rPr>
              <w:t>合计（人民币）</w:t>
            </w:r>
          </w:p>
        </w:tc>
        <w:tc>
          <w:tcPr>
            <w:tcW w:w="5382" w:type="dxa"/>
            <w:gridSpan w:val="3"/>
            <w:tcBorders>
              <w:top w:val="single" w:color="auto" w:sz="4" w:space="0"/>
              <w:left w:val="single" w:color="auto" w:sz="4" w:space="0"/>
              <w:bottom w:val="single" w:color="auto" w:sz="4" w:space="0"/>
              <w:right w:val="single" w:color="auto" w:sz="4" w:space="0"/>
            </w:tcBorders>
            <w:vAlign w:val="center"/>
          </w:tcPr>
          <w:p w14:paraId="595D7D90">
            <w:pPr>
              <w:spacing w:line="360" w:lineRule="auto"/>
              <w:ind w:left="210" w:leftChars="100"/>
              <w:outlineLvl w:val="0"/>
              <w:rPr>
                <w:rFonts w:ascii="宋体" w:hAnsi="宋体"/>
                <w:b/>
                <w:sz w:val="24"/>
                <w:szCs w:val="24"/>
              </w:rPr>
            </w:pPr>
            <w:r>
              <w:rPr>
                <w:rFonts w:hint="eastAsia" w:ascii="仿宋_GB2312" w:hAnsi="黑体" w:eastAsia="仿宋_GB2312"/>
                <w:color w:val="000000" w:themeColor="text1"/>
                <w:sz w:val="28"/>
                <w:szCs w:val="28"/>
                <w14:textFill>
                  <w14:solidFill>
                    <w14:schemeClr w14:val="tx1"/>
                  </w14:solidFill>
                </w14:textFill>
              </w:rPr>
              <w:t>2</w:t>
            </w:r>
            <w:r>
              <w:rPr>
                <w:rFonts w:ascii="仿宋_GB2312" w:hAnsi="黑体" w:eastAsia="仿宋_GB2312"/>
                <w:color w:val="000000" w:themeColor="text1"/>
                <w:sz w:val="28"/>
                <w:szCs w:val="28"/>
                <w14:textFill>
                  <w14:solidFill>
                    <w14:schemeClr w14:val="tx1"/>
                  </w14:solidFill>
                </w14:textFill>
              </w:rPr>
              <w:t>99.816</w:t>
            </w:r>
          </w:p>
        </w:tc>
      </w:tr>
    </w:tbl>
    <w:p w14:paraId="739205A3">
      <w:pPr>
        <w:pStyle w:val="73"/>
        <w:numPr>
          <w:ilvl w:val="0"/>
          <w:numId w:val="26"/>
        </w:numPr>
        <w:ind w:left="420"/>
      </w:pPr>
      <w:r>
        <w:rPr>
          <w:rFonts w:hint="eastAsia"/>
        </w:rPr>
        <w:t>交货地点</w:t>
      </w:r>
    </w:p>
    <w:p w14:paraId="4533F228">
      <w:pPr>
        <w:pStyle w:val="73"/>
        <w:numPr>
          <w:ilvl w:val="0"/>
          <w:numId w:val="0"/>
        </w:numPr>
        <w:rPr>
          <w:rFonts w:ascii="宋体" w:hAnsi="宋体" w:eastAsia="宋体" w:cs="宋体"/>
          <w:b w:val="0"/>
          <w:bCs w:val="0"/>
          <w:sz w:val="21"/>
          <w:szCs w:val="21"/>
        </w:rPr>
      </w:pPr>
      <w:r>
        <w:rPr>
          <w:rFonts w:hint="eastAsia" w:ascii="宋体" w:hAnsi="宋体" w:eastAsia="宋体" w:cs="宋体"/>
          <w:b w:val="0"/>
          <w:bCs w:val="0"/>
          <w:sz w:val="21"/>
          <w:szCs w:val="21"/>
          <w:highlight w:val="yellow"/>
        </w:rPr>
        <w:t>济南市高新区华奥路777号中国重汽未来科技大厦</w:t>
      </w:r>
    </w:p>
    <w:p w14:paraId="57690276">
      <w:pPr>
        <w:pStyle w:val="73"/>
        <w:numPr>
          <w:ilvl w:val="0"/>
          <w:numId w:val="0"/>
        </w:numPr>
      </w:pPr>
      <w:r>
        <w:rPr>
          <w:rFonts w:hint="eastAsia"/>
        </w:rPr>
        <w:t>三、价款及付款方式</w:t>
      </w:r>
    </w:p>
    <w:p w14:paraId="17ACF8F7">
      <w:pPr>
        <w:pStyle w:val="73"/>
        <w:numPr>
          <w:ilvl w:val="0"/>
          <w:numId w:val="0"/>
        </w:numPr>
        <w:rPr>
          <w:rFonts w:hint="eastAsia"/>
        </w:rPr>
      </w:pPr>
      <w:r>
        <w:rPr>
          <w:rFonts w:hint="eastAsia" w:ascii="宋体" w:hAnsi="宋体" w:eastAsia="宋体" w:cs="宋体"/>
          <w:b w:val="0"/>
          <w:bCs w:val="0"/>
          <w:sz w:val="21"/>
          <w:szCs w:val="21"/>
          <w:highlight w:val="yellow"/>
        </w:rPr>
        <w:t>总价2</w:t>
      </w:r>
      <w:r>
        <w:rPr>
          <w:rFonts w:ascii="宋体" w:hAnsi="宋体" w:eastAsia="宋体" w:cs="宋体"/>
          <w:b w:val="0"/>
          <w:bCs w:val="0"/>
          <w:sz w:val="21"/>
          <w:szCs w:val="21"/>
          <w:highlight w:val="yellow"/>
        </w:rPr>
        <w:t>99.816</w:t>
      </w:r>
      <w:r>
        <w:rPr>
          <w:rFonts w:hint="eastAsia" w:ascii="宋体" w:hAnsi="宋体" w:eastAsia="宋体" w:cs="宋体"/>
          <w:b w:val="0"/>
          <w:bCs w:val="0"/>
          <w:sz w:val="21"/>
          <w:szCs w:val="21"/>
          <w:highlight w:val="yellow"/>
        </w:rPr>
        <w:t>万元半年期商业汇票（包括银行承兑汇票和商业承兑汇票）</w:t>
      </w:r>
    </w:p>
    <w:p w14:paraId="248113E4">
      <w:pPr>
        <w:pStyle w:val="73"/>
        <w:numPr>
          <w:ilvl w:val="0"/>
          <w:numId w:val="0"/>
        </w:numPr>
      </w:pPr>
      <w:r>
        <w:rPr>
          <w:rFonts w:hint="eastAsia"/>
        </w:rPr>
        <w:t>四、安装、调试及验收要求</w:t>
      </w:r>
    </w:p>
    <w:p w14:paraId="38CD4695">
      <w:pPr>
        <w:numPr>
          <w:ilvl w:val="0"/>
          <w:numId w:val="27"/>
        </w:numPr>
        <w:tabs>
          <w:tab w:val="left" w:pos="851"/>
        </w:tabs>
        <w:spacing w:line="360" w:lineRule="auto"/>
        <w:ind w:left="0" w:firstLine="480" w:firstLineChars="200"/>
        <w:rPr>
          <w:rFonts w:ascii="宋体" w:hAnsi="宋体"/>
          <w:sz w:val="24"/>
          <w:szCs w:val="24"/>
        </w:rPr>
      </w:pPr>
      <w:r>
        <w:rPr>
          <w:rFonts w:hint="eastAsia" w:ascii="宋体" w:hAnsi="宋体"/>
          <w:sz w:val="24"/>
          <w:szCs w:val="24"/>
        </w:rPr>
        <w:t>乙方须严格按软件安装、售后等技术服务支持计划进度执行，并按时按质交付。</w:t>
      </w:r>
    </w:p>
    <w:p w14:paraId="04188F0B">
      <w:pPr>
        <w:numPr>
          <w:ilvl w:val="0"/>
          <w:numId w:val="27"/>
        </w:numPr>
        <w:tabs>
          <w:tab w:val="left" w:pos="851"/>
        </w:tabs>
        <w:spacing w:line="360" w:lineRule="auto"/>
        <w:ind w:left="0" w:firstLine="480" w:firstLineChars="200"/>
        <w:rPr>
          <w:rFonts w:ascii="宋体" w:hAnsi="宋体"/>
          <w:sz w:val="24"/>
          <w:szCs w:val="24"/>
        </w:rPr>
      </w:pPr>
      <w:r>
        <w:rPr>
          <w:rFonts w:hint="eastAsia" w:ascii="宋体" w:hAnsi="宋体"/>
          <w:sz w:val="24"/>
          <w:szCs w:val="24"/>
        </w:rPr>
        <w:t>软件安装维护各阶段工作中，甲乙双方均需填写验收表，经双方项目经理签字确认，并作为软件最终验收合格的依据。</w:t>
      </w:r>
    </w:p>
    <w:p w14:paraId="6FBEFEFD">
      <w:pPr>
        <w:numPr>
          <w:ilvl w:val="0"/>
          <w:numId w:val="27"/>
        </w:numPr>
        <w:tabs>
          <w:tab w:val="left" w:pos="851"/>
        </w:tabs>
        <w:spacing w:line="360" w:lineRule="auto"/>
        <w:ind w:left="0" w:firstLine="480" w:firstLineChars="200"/>
        <w:rPr>
          <w:rFonts w:ascii="宋体" w:hAnsi="宋体"/>
          <w:sz w:val="24"/>
          <w:szCs w:val="24"/>
        </w:rPr>
      </w:pPr>
      <w:r>
        <w:rPr>
          <w:rFonts w:hint="eastAsia" w:ascii="宋体" w:hAnsi="宋体"/>
          <w:sz w:val="24"/>
          <w:szCs w:val="24"/>
        </w:rPr>
        <w:t>软件验收于软件上线运行满</w:t>
      </w:r>
      <w:r>
        <w:rPr>
          <w:rFonts w:hint="eastAsia" w:ascii="宋体" w:hAnsi="宋体"/>
          <w:sz w:val="24"/>
          <w:szCs w:val="24"/>
          <w:u w:val="single"/>
        </w:rPr>
        <w:t xml:space="preserve"> 6</w:t>
      </w:r>
      <w:r>
        <w:rPr>
          <w:rFonts w:hint="eastAsia" w:ascii="宋体" w:hAnsi="宋体"/>
          <w:sz w:val="24"/>
          <w:szCs w:val="24"/>
        </w:rPr>
        <w:t>个月进行验收评审,并于30日内完成。如因乙方原因致使软件验收未通过，乙方应尽快排除故障，甲方积极配合，排除故障后重新启动验收评审流程。</w:t>
      </w:r>
    </w:p>
    <w:p w14:paraId="6186A388">
      <w:pPr>
        <w:numPr>
          <w:ilvl w:val="0"/>
          <w:numId w:val="27"/>
        </w:numPr>
        <w:tabs>
          <w:tab w:val="left" w:pos="851"/>
        </w:tabs>
        <w:spacing w:line="360" w:lineRule="auto"/>
        <w:ind w:left="0" w:firstLine="480" w:firstLineChars="200"/>
        <w:rPr>
          <w:rFonts w:ascii="宋体" w:hAnsi="宋体"/>
          <w:sz w:val="24"/>
          <w:szCs w:val="24"/>
        </w:rPr>
      </w:pPr>
      <w:r>
        <w:rPr>
          <w:rFonts w:hint="eastAsia" w:ascii="宋体" w:hAnsi="宋体"/>
          <w:sz w:val="24"/>
          <w:szCs w:val="24"/>
        </w:rPr>
        <w:t>软件安装调试运行后，甲方对软件进行最终验收并签署书面验收报告，方为验收通过。</w:t>
      </w:r>
    </w:p>
    <w:p w14:paraId="7F475041">
      <w:pPr>
        <w:numPr>
          <w:ilvl w:val="0"/>
          <w:numId w:val="27"/>
        </w:numPr>
        <w:tabs>
          <w:tab w:val="left" w:pos="851"/>
        </w:tabs>
        <w:spacing w:line="360" w:lineRule="auto"/>
        <w:ind w:left="0" w:firstLine="480" w:firstLineChars="200"/>
        <w:rPr>
          <w:rFonts w:ascii="宋体" w:hAnsi="宋体"/>
          <w:sz w:val="24"/>
          <w:szCs w:val="24"/>
        </w:rPr>
      </w:pPr>
      <w:r>
        <w:rPr>
          <w:rFonts w:hint="eastAsia" w:ascii="宋体" w:hAnsi="宋体"/>
          <w:sz w:val="24"/>
          <w:szCs w:val="24"/>
        </w:rPr>
        <w:t>验收合格并不意味着免除乙方对软件产品使用过程中的质量保证责任和售后服务义务。</w:t>
      </w:r>
    </w:p>
    <w:p w14:paraId="73684D0A">
      <w:pPr>
        <w:pStyle w:val="73"/>
        <w:numPr>
          <w:ilvl w:val="0"/>
          <w:numId w:val="0"/>
        </w:numPr>
      </w:pPr>
      <w:r>
        <w:rPr>
          <w:rFonts w:hint="eastAsia"/>
        </w:rPr>
        <w:t>五、违约责任</w:t>
      </w:r>
    </w:p>
    <w:p w14:paraId="18790054">
      <w:pPr>
        <w:numPr>
          <w:ilvl w:val="0"/>
          <w:numId w:val="28"/>
        </w:numPr>
        <w:tabs>
          <w:tab w:val="left" w:pos="851"/>
        </w:tabs>
        <w:spacing w:line="360" w:lineRule="auto"/>
        <w:ind w:left="0" w:firstLine="480" w:firstLineChars="200"/>
        <w:rPr>
          <w:rFonts w:ascii="宋体" w:hAnsi="宋体"/>
          <w:sz w:val="24"/>
          <w:szCs w:val="24"/>
        </w:rPr>
      </w:pPr>
      <w:r>
        <w:rPr>
          <w:rFonts w:hint="eastAsia" w:ascii="宋体" w:hAnsi="宋体"/>
          <w:sz w:val="24"/>
          <w:szCs w:val="24"/>
        </w:rPr>
        <w:t>合同签署及履行过程中，未经甲方书面同意，乙方不得擅自将本合同项下项目转让或分包，否则应承担合同总金额10%的违约金。</w:t>
      </w:r>
    </w:p>
    <w:p w14:paraId="003F72C2">
      <w:pPr>
        <w:numPr>
          <w:ilvl w:val="0"/>
          <w:numId w:val="28"/>
        </w:numPr>
        <w:tabs>
          <w:tab w:val="left" w:pos="851"/>
        </w:tabs>
        <w:spacing w:line="360" w:lineRule="auto"/>
        <w:ind w:left="0" w:firstLine="480" w:firstLineChars="200"/>
        <w:rPr>
          <w:rFonts w:ascii="宋体" w:hAnsi="宋体"/>
          <w:sz w:val="24"/>
          <w:szCs w:val="24"/>
        </w:rPr>
      </w:pPr>
      <w:r>
        <w:rPr>
          <w:rFonts w:hint="eastAsia" w:ascii="宋体" w:hAnsi="宋体"/>
          <w:sz w:val="24"/>
          <w:szCs w:val="24"/>
        </w:rPr>
        <w:t>由于乙方原因逾期交付软件产品或逾期安装调试的，每日须按软件采购总金额2</w:t>
      </w:r>
      <w:r>
        <w:rPr>
          <w:rFonts w:ascii="宋体" w:hAnsi="宋体"/>
          <w:sz w:val="24"/>
          <w:szCs w:val="24"/>
        </w:rPr>
        <w:t>‰</w:t>
      </w:r>
      <w:r>
        <w:rPr>
          <w:rFonts w:hint="eastAsia" w:ascii="宋体" w:hAnsi="宋体"/>
          <w:sz w:val="24"/>
          <w:szCs w:val="24"/>
        </w:rPr>
        <w:t>的标准向甲方支付违约金。乙方逾期30天仍未交付软件产品或仍未安装调试的，甲方有权单方解除合同及要求乙方退回甲方已支付的费用并承担项目逾期造成的直接损失，赔偿最高限额为软件产品采购合同总金额。由于甲方原因造成乙方逾期交付产品或逾期安装调试的，乙方不承担违约责任。</w:t>
      </w:r>
    </w:p>
    <w:p w14:paraId="1C30E819">
      <w:pPr>
        <w:numPr>
          <w:ilvl w:val="0"/>
          <w:numId w:val="28"/>
        </w:numPr>
        <w:tabs>
          <w:tab w:val="left" w:pos="851"/>
        </w:tabs>
        <w:spacing w:line="360" w:lineRule="auto"/>
        <w:ind w:left="0" w:firstLine="480" w:firstLineChars="200"/>
        <w:rPr>
          <w:rFonts w:ascii="宋体" w:hAnsi="宋体"/>
          <w:sz w:val="24"/>
          <w:szCs w:val="24"/>
        </w:rPr>
      </w:pPr>
      <w:r>
        <w:rPr>
          <w:rFonts w:hint="eastAsia" w:ascii="宋体" w:hAnsi="宋体"/>
          <w:sz w:val="24"/>
          <w:szCs w:val="24"/>
        </w:rPr>
        <w:t>由于乙方提供的软件产品存在瑕疵或其他非甲方原因导致软件产品不能正常使用，影响甲方正常生产运营的，或由于乙方在软件安装、售后服务等工作存在瑕疵对甲方生产运营造成不良影响的，乙方除应积极配合甲方排除故障，恢复正常使用功能外，如给甲方造成损失的，还应向甲方承担全部赔偿责任，赔偿最高限额为软件产品采购合同总金额。</w:t>
      </w:r>
    </w:p>
    <w:p w14:paraId="6BA363F2">
      <w:pPr>
        <w:numPr>
          <w:ilvl w:val="0"/>
          <w:numId w:val="28"/>
        </w:numPr>
        <w:tabs>
          <w:tab w:val="left" w:pos="851"/>
        </w:tabs>
        <w:spacing w:line="360" w:lineRule="auto"/>
        <w:ind w:left="0" w:firstLine="480" w:firstLineChars="200"/>
        <w:rPr>
          <w:rFonts w:ascii="宋体" w:hAnsi="宋体"/>
          <w:sz w:val="24"/>
          <w:szCs w:val="24"/>
        </w:rPr>
      </w:pPr>
      <w:r>
        <w:rPr>
          <w:rFonts w:hint="eastAsia" w:ascii="宋体" w:hAnsi="宋体"/>
          <w:sz w:val="24"/>
          <w:szCs w:val="24"/>
        </w:rPr>
        <w:t>由于甲方原因造成逾期付款的（自发票收到30天以上仍未办理付款时，视为超期计时），每日须按逾期支付的款项金额2</w:t>
      </w:r>
      <w:r>
        <w:rPr>
          <w:rFonts w:ascii="宋体" w:hAnsi="宋体"/>
          <w:sz w:val="24"/>
          <w:szCs w:val="24"/>
        </w:rPr>
        <w:t>‰</w:t>
      </w:r>
      <w:r>
        <w:rPr>
          <w:rFonts w:hint="eastAsia" w:ascii="宋体" w:hAnsi="宋体"/>
          <w:sz w:val="24"/>
          <w:szCs w:val="24"/>
        </w:rPr>
        <w:t>的标准向乙方支付违约金，但不超过剩余未支付款项。</w:t>
      </w:r>
    </w:p>
    <w:p w14:paraId="57DAD399">
      <w:pPr>
        <w:numPr>
          <w:ilvl w:val="0"/>
          <w:numId w:val="28"/>
        </w:numPr>
        <w:tabs>
          <w:tab w:val="left" w:pos="851"/>
        </w:tabs>
        <w:spacing w:line="360" w:lineRule="auto"/>
        <w:ind w:left="0" w:firstLine="480" w:firstLineChars="200"/>
        <w:rPr>
          <w:rFonts w:ascii="宋体" w:hAnsi="宋体"/>
          <w:sz w:val="24"/>
          <w:szCs w:val="24"/>
        </w:rPr>
      </w:pPr>
      <w:r>
        <w:rPr>
          <w:rFonts w:hint="eastAsia" w:ascii="宋体" w:hAnsi="宋体"/>
          <w:sz w:val="24"/>
          <w:szCs w:val="24"/>
        </w:rPr>
        <w:t>由于甲方系统集成后，非乙方原因导致的频繁出现故障或其他不能正常使用情形，乙方应积极提供解决方案或技术支持。</w:t>
      </w:r>
    </w:p>
    <w:p w14:paraId="4FFA91A6">
      <w:pPr>
        <w:pStyle w:val="73"/>
        <w:numPr>
          <w:ilvl w:val="0"/>
          <w:numId w:val="29"/>
        </w:numPr>
      </w:pPr>
      <w:r>
        <w:rPr>
          <w:rFonts w:hint="eastAsia"/>
        </w:rPr>
        <w:t>争议解决方式</w:t>
      </w:r>
    </w:p>
    <w:p w14:paraId="5BB2D102">
      <w:pPr>
        <w:tabs>
          <w:tab w:val="left" w:pos="851"/>
        </w:tabs>
        <w:spacing w:line="360" w:lineRule="auto"/>
        <w:rPr>
          <w:rFonts w:ascii="宋体" w:hAnsi="宋体"/>
          <w:sz w:val="24"/>
          <w:szCs w:val="24"/>
        </w:rPr>
      </w:pPr>
      <w:r>
        <w:rPr>
          <w:rFonts w:ascii="宋体" w:hAnsi="宋体"/>
          <w:sz w:val="24"/>
          <w:szCs w:val="24"/>
        </w:rPr>
        <w:tab/>
      </w:r>
      <w:r>
        <w:rPr>
          <w:rFonts w:hint="eastAsia" w:ascii="宋体" w:hAnsi="宋体"/>
          <w:sz w:val="24"/>
          <w:szCs w:val="24"/>
        </w:rPr>
        <w:t>双方在本合同履行中发生的任何争议，首先应友好协商解决。协商不成的，任何一方均可向甲方住所地有管辖权的人民法院提起诉讼。</w:t>
      </w:r>
    </w:p>
    <w:p w14:paraId="01B724C7">
      <w:pPr>
        <w:pStyle w:val="73"/>
        <w:numPr>
          <w:ilvl w:val="0"/>
          <w:numId w:val="0"/>
        </w:numPr>
        <w:rPr>
          <w:rFonts w:hint="eastAsia"/>
        </w:rPr>
      </w:pPr>
    </w:p>
    <w:p w14:paraId="52009A24">
      <w:pPr>
        <w:pStyle w:val="77"/>
        <w:rPr>
          <w:rFonts w:hint="eastAsia"/>
        </w:rPr>
      </w:pPr>
    </w:p>
    <w:p w14:paraId="745C3EF8">
      <w:pPr>
        <w:pStyle w:val="77"/>
        <w:rPr>
          <w:rFonts w:hint="eastAsia"/>
        </w:rPr>
      </w:pPr>
    </w:p>
    <w:p w14:paraId="05A876A2">
      <w:pPr>
        <w:pStyle w:val="77"/>
      </w:pPr>
    </w:p>
    <w:p w14:paraId="5F1CE1B8">
      <w:pPr>
        <w:pStyle w:val="77"/>
        <w:rPr>
          <w:rFonts w:hint="eastAsia"/>
        </w:rPr>
      </w:pPr>
    </w:p>
    <w:p w14:paraId="38AA6C5B">
      <w:pPr>
        <w:pStyle w:val="77"/>
      </w:pPr>
    </w:p>
    <w:p w14:paraId="28EAD551">
      <w:pPr>
        <w:pStyle w:val="77"/>
      </w:pPr>
    </w:p>
    <w:p w14:paraId="40CE396B">
      <w:pPr>
        <w:pStyle w:val="77"/>
      </w:pPr>
    </w:p>
    <w:p w14:paraId="68653306">
      <w:pPr>
        <w:pStyle w:val="72"/>
      </w:pPr>
      <w:bookmarkStart w:id="26" w:name="_Toc47976615"/>
      <w:bookmarkStart w:id="27" w:name="_Toc5925"/>
      <w:r>
        <w:rPr>
          <w:rFonts w:hint="eastAsia"/>
        </w:rPr>
        <w:t>第四部分　</w:t>
      </w:r>
      <w:bookmarkEnd w:id="26"/>
      <w:r>
        <w:rPr>
          <w:rFonts w:hint="eastAsia"/>
        </w:rPr>
        <w:t>投标文件附件</w:t>
      </w:r>
      <w:bookmarkEnd w:id="27"/>
    </w:p>
    <w:p w14:paraId="2FBE3F68">
      <w:pPr>
        <w:pStyle w:val="72"/>
        <w:jc w:val="left"/>
        <w:rPr>
          <w:rFonts w:ascii="宋体" w:hAnsi="宋体" w:eastAsia="宋体" w:cs="宋体"/>
          <w:sz w:val="32"/>
          <w:szCs w:val="32"/>
          <w:highlight w:val="yellow"/>
        </w:rPr>
      </w:pPr>
      <w:bookmarkStart w:id="28" w:name="_Toc4225"/>
      <w:bookmarkStart w:id="29" w:name="_Toc47976616"/>
      <w:r>
        <w:rPr>
          <w:rFonts w:hint="eastAsia" w:ascii="宋体" w:hAnsi="宋体" w:eastAsia="宋体" w:cs="宋体"/>
          <w:sz w:val="32"/>
          <w:szCs w:val="32"/>
          <w:highlight w:val="yellow"/>
        </w:rPr>
        <w:t>附件</w:t>
      </w:r>
      <w:bookmarkEnd w:id="28"/>
      <w:bookmarkEnd w:id="29"/>
      <w:r>
        <w:rPr>
          <w:rFonts w:hint="eastAsia" w:ascii="宋体" w:hAnsi="宋体" w:eastAsia="宋体" w:cs="宋体"/>
          <w:sz w:val="32"/>
          <w:szCs w:val="32"/>
          <w:highlight w:val="yellow"/>
        </w:rPr>
        <w:t>1</w:t>
      </w:r>
    </w:p>
    <w:p w14:paraId="5EC7E547">
      <w:pPr>
        <w:keepNext/>
        <w:keepLines/>
        <w:jc w:val="center"/>
        <w:outlineLvl w:val="2"/>
        <w:rPr>
          <w:rFonts w:ascii="宋体" w:hAnsi="宋体" w:cs="宋体"/>
          <w:b/>
          <w:bCs/>
          <w:color w:val="000000"/>
          <w:sz w:val="32"/>
          <w:szCs w:val="32"/>
        </w:rPr>
      </w:pPr>
      <w:r>
        <w:rPr>
          <w:rFonts w:hint="eastAsia" w:ascii="宋体" w:hAnsi="宋体" w:cs="宋体"/>
          <w:b/>
          <w:bCs/>
          <w:color w:val="000000"/>
          <w:sz w:val="32"/>
          <w:szCs w:val="32"/>
        </w:rPr>
        <w:t>投标函</w:t>
      </w:r>
    </w:p>
    <w:p w14:paraId="1DBE86A8">
      <w:pPr>
        <w:spacing w:line="360" w:lineRule="auto"/>
        <w:ind w:firstLine="480" w:firstLineChars="200"/>
        <w:rPr>
          <w:rFonts w:ascii="宋体" w:hAnsi="宋体"/>
          <w:color w:val="000000"/>
          <w:sz w:val="24"/>
          <w:szCs w:val="24"/>
        </w:rPr>
      </w:pPr>
      <w:r>
        <w:rPr>
          <w:rFonts w:hint="eastAsia" w:ascii="宋体" w:hAnsi="宋体"/>
          <w:color w:val="000000"/>
          <w:sz w:val="24"/>
          <w:szCs w:val="24"/>
        </w:rPr>
        <w:t>致：中国重汽集团济南动力有限公司：</w:t>
      </w:r>
    </w:p>
    <w:p w14:paraId="7143D11A">
      <w:pPr>
        <w:spacing w:line="360" w:lineRule="auto"/>
        <w:ind w:firstLine="480" w:firstLineChars="200"/>
        <w:rPr>
          <w:rFonts w:ascii="宋体" w:hAnsi="宋体"/>
          <w:color w:val="000000"/>
          <w:sz w:val="24"/>
          <w:szCs w:val="24"/>
        </w:rPr>
      </w:pPr>
      <w:r>
        <w:rPr>
          <w:rFonts w:hint="eastAsia" w:ascii="宋体" w:hAnsi="宋体"/>
          <w:color w:val="000000"/>
          <w:sz w:val="24"/>
          <w:szCs w:val="24"/>
        </w:rPr>
        <w:t>根据贵</w:t>
      </w:r>
      <w:r>
        <w:rPr>
          <w:rFonts w:hint="eastAsia" w:ascii="宋体" w:hAnsi="宋体"/>
          <w:bCs/>
          <w:snapToGrid w:val="0"/>
          <w:color w:val="000000"/>
          <w:kern w:val="0"/>
          <w:sz w:val="24"/>
          <w:szCs w:val="24"/>
        </w:rPr>
        <w:t>方</w:t>
      </w:r>
      <w:r>
        <w:rPr>
          <w:rFonts w:ascii="宋体" w:hAnsi="宋体"/>
          <w:bCs/>
          <w:snapToGrid w:val="0"/>
          <w:color w:val="000000"/>
          <w:kern w:val="0"/>
          <w:sz w:val="24"/>
          <w:szCs w:val="24"/>
        </w:rPr>
        <w:t>E3.Series软件增购</w:t>
      </w:r>
      <w:r>
        <w:rPr>
          <w:rFonts w:hint="eastAsia" w:ascii="宋体" w:hAnsi="宋体"/>
          <w:bCs/>
          <w:snapToGrid w:val="0"/>
          <w:color w:val="000000"/>
          <w:kern w:val="0"/>
          <w:sz w:val="24"/>
          <w:szCs w:val="24"/>
        </w:rPr>
        <w:t>项目招标公告</w:t>
      </w:r>
      <w:r>
        <w:rPr>
          <w:rFonts w:hint="eastAsia" w:ascii="宋体" w:hAnsi="宋体"/>
          <w:color w:val="000000"/>
          <w:sz w:val="24"/>
          <w:szCs w:val="24"/>
        </w:rPr>
        <w:t>，</w:t>
      </w:r>
      <w:r>
        <w:rPr>
          <w:rFonts w:ascii="宋体" w:hAnsi="宋体"/>
          <w:b/>
          <w:color w:val="000000"/>
          <w:sz w:val="24"/>
          <w:szCs w:val="24"/>
          <w:u w:val="single"/>
        </w:rPr>
        <w:t xml:space="preserve">            </w:t>
      </w:r>
      <w:r>
        <w:rPr>
          <w:rFonts w:hint="eastAsia" w:ascii="宋体" w:hAnsi="宋体"/>
          <w:color w:val="000000"/>
          <w:sz w:val="24"/>
          <w:szCs w:val="24"/>
        </w:rPr>
        <w:t>投标公司，</w:t>
      </w:r>
      <w:r>
        <w:rPr>
          <w:rFonts w:ascii="宋体" w:hAnsi="宋体"/>
          <w:color w:val="000000"/>
          <w:sz w:val="24"/>
          <w:szCs w:val="24"/>
        </w:rPr>
        <w:t xml:space="preserve"> </w:t>
      </w:r>
      <w:r>
        <w:rPr>
          <w:rFonts w:hint="eastAsia" w:ascii="宋体" w:hAnsi="宋体"/>
          <w:color w:val="000000"/>
          <w:sz w:val="24"/>
          <w:szCs w:val="24"/>
        </w:rPr>
        <w:t>法人代表人为</w:t>
      </w:r>
      <w:r>
        <w:rPr>
          <w:rFonts w:ascii="宋体" w:hAnsi="宋体"/>
          <w:color w:val="000000"/>
          <w:sz w:val="24"/>
          <w:szCs w:val="24"/>
          <w:u w:val="single"/>
        </w:rPr>
        <w:t xml:space="preserve">         </w:t>
      </w:r>
      <w:r>
        <w:rPr>
          <w:rFonts w:hint="eastAsia" w:ascii="宋体" w:hAnsi="宋体"/>
          <w:color w:val="000000"/>
          <w:sz w:val="24"/>
          <w:szCs w:val="24"/>
        </w:rPr>
        <w:t>，正式授权</w:t>
      </w:r>
      <w:r>
        <w:rPr>
          <w:rFonts w:ascii="宋体" w:hAnsi="宋体"/>
          <w:color w:val="000000"/>
          <w:sz w:val="24"/>
          <w:szCs w:val="24"/>
          <w:u w:val="single"/>
        </w:rPr>
        <w:t xml:space="preserve">           </w:t>
      </w:r>
      <w:r>
        <w:rPr>
          <w:rFonts w:ascii="宋体" w:hAnsi="宋体"/>
          <w:color w:val="000000"/>
          <w:sz w:val="24"/>
          <w:szCs w:val="24"/>
        </w:rPr>
        <w:t xml:space="preserve"> </w:t>
      </w:r>
      <w:r>
        <w:rPr>
          <w:rFonts w:hint="eastAsia" w:ascii="宋体" w:hAnsi="宋体"/>
          <w:color w:val="000000"/>
          <w:sz w:val="24"/>
          <w:szCs w:val="24"/>
        </w:rPr>
        <w:t>提交纸质投标文件：资质证明文件、商务文件和技术文件正本</w:t>
      </w:r>
      <w:r>
        <w:rPr>
          <w:rFonts w:hint="eastAsia" w:ascii="宋体" w:hAnsi="宋体"/>
          <w:color w:val="000000"/>
          <w:sz w:val="24"/>
          <w:szCs w:val="24"/>
          <w:u w:val="single"/>
        </w:rPr>
        <w:t xml:space="preserve">  </w:t>
      </w:r>
      <w:r>
        <w:rPr>
          <w:rFonts w:hint="eastAsia" w:ascii="宋体" w:hAnsi="宋体"/>
          <w:color w:val="000000"/>
          <w:sz w:val="24"/>
          <w:szCs w:val="24"/>
        </w:rPr>
        <w:t>份、副本</w:t>
      </w:r>
      <w:r>
        <w:rPr>
          <w:rFonts w:hint="eastAsia" w:ascii="宋体" w:hAnsi="宋体"/>
          <w:color w:val="000000"/>
          <w:sz w:val="24"/>
          <w:szCs w:val="24"/>
          <w:u w:val="single"/>
        </w:rPr>
        <w:t xml:space="preserve">  </w:t>
      </w:r>
      <w:r>
        <w:rPr>
          <w:rFonts w:hint="eastAsia" w:ascii="宋体" w:hAnsi="宋体"/>
          <w:color w:val="000000"/>
          <w:sz w:val="24"/>
          <w:szCs w:val="24"/>
        </w:rPr>
        <w:t>份；电子版投标文件一份。</w:t>
      </w:r>
    </w:p>
    <w:p w14:paraId="02BFBD91">
      <w:pPr>
        <w:spacing w:line="360" w:lineRule="auto"/>
        <w:ind w:firstLine="480" w:firstLineChars="200"/>
        <w:rPr>
          <w:rFonts w:ascii="宋体" w:hAnsi="宋体"/>
          <w:color w:val="000000"/>
          <w:sz w:val="24"/>
          <w:szCs w:val="24"/>
        </w:rPr>
      </w:pPr>
      <w:r>
        <w:rPr>
          <w:rFonts w:hint="eastAsia" w:ascii="宋体" w:hAnsi="宋体"/>
          <w:color w:val="000000"/>
          <w:sz w:val="24"/>
          <w:szCs w:val="24"/>
        </w:rPr>
        <w:t>据此函，签字代表宣布同意如下：</w:t>
      </w:r>
    </w:p>
    <w:p w14:paraId="4195F8BC">
      <w:pPr>
        <w:spacing w:line="360" w:lineRule="auto"/>
        <w:ind w:firstLine="480" w:firstLineChars="200"/>
        <w:rPr>
          <w:rFonts w:ascii="宋体" w:hAnsi="宋体"/>
          <w:color w:val="000000"/>
          <w:sz w:val="24"/>
          <w:szCs w:val="24"/>
        </w:rPr>
      </w:pPr>
      <w:r>
        <w:rPr>
          <w:rFonts w:ascii="宋体" w:hAnsi="宋体"/>
          <w:color w:val="000000"/>
          <w:sz w:val="24"/>
          <w:szCs w:val="24"/>
        </w:rPr>
        <w:t>1</w:t>
      </w:r>
      <w:r>
        <w:rPr>
          <w:rFonts w:hint="eastAsia" w:ascii="宋体" w:hAnsi="宋体"/>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0FD55C45">
      <w:pPr>
        <w:spacing w:line="360" w:lineRule="auto"/>
        <w:ind w:firstLine="480" w:firstLineChars="200"/>
        <w:rPr>
          <w:rFonts w:ascii="宋体" w:hAnsi="宋体"/>
          <w:color w:val="000000"/>
          <w:sz w:val="24"/>
          <w:szCs w:val="24"/>
        </w:rPr>
      </w:pPr>
      <w:r>
        <w:rPr>
          <w:rFonts w:ascii="宋体" w:hAnsi="宋体"/>
          <w:color w:val="000000"/>
          <w:sz w:val="24"/>
          <w:szCs w:val="24"/>
        </w:rPr>
        <w:t>2</w:t>
      </w:r>
      <w:r>
        <w:rPr>
          <w:rFonts w:hint="eastAsia" w:ascii="宋体" w:hAnsi="宋体"/>
          <w:color w:val="000000"/>
          <w:sz w:val="24"/>
          <w:szCs w:val="24"/>
        </w:rPr>
        <w:t>.投标人在投标之前已经与贵方进行了充分的沟通，完全理解并接受招标文件的各项规定和要求，对招标文件的合理性、合法性不再有异议。</w:t>
      </w:r>
    </w:p>
    <w:p w14:paraId="56DF83F9">
      <w:pPr>
        <w:spacing w:line="360" w:lineRule="auto"/>
        <w:ind w:firstLine="480" w:firstLineChars="200"/>
        <w:rPr>
          <w:rFonts w:ascii="宋体" w:hAnsi="宋体"/>
          <w:color w:val="000000"/>
          <w:sz w:val="24"/>
          <w:szCs w:val="24"/>
        </w:rPr>
      </w:pPr>
      <w:r>
        <w:rPr>
          <w:rFonts w:ascii="宋体" w:hAnsi="宋体"/>
          <w:color w:val="000000"/>
          <w:sz w:val="24"/>
          <w:szCs w:val="24"/>
        </w:rPr>
        <w:t>3</w:t>
      </w:r>
      <w:r>
        <w:rPr>
          <w:rFonts w:hint="eastAsia" w:ascii="宋体" w:hAnsi="宋体"/>
          <w:color w:val="000000"/>
          <w:sz w:val="24"/>
          <w:szCs w:val="24"/>
        </w:rPr>
        <w:t>.本投标有效期自开标日起</w:t>
      </w:r>
      <w:r>
        <w:rPr>
          <w:rFonts w:ascii="宋体" w:hAnsi="宋体"/>
          <w:bCs/>
          <w:color w:val="000000"/>
          <w:sz w:val="24"/>
          <w:szCs w:val="24"/>
          <w:u w:val="single"/>
        </w:rPr>
        <w:t xml:space="preserve"> </w:t>
      </w:r>
      <w:r>
        <w:rPr>
          <w:rFonts w:hint="eastAsia" w:ascii="宋体" w:hAnsi="宋体"/>
          <w:bCs/>
          <w:color w:val="000000"/>
          <w:sz w:val="24"/>
          <w:szCs w:val="24"/>
          <w:u w:val="single"/>
        </w:rPr>
        <w:t xml:space="preserve"> </w:t>
      </w:r>
      <w:r>
        <w:rPr>
          <w:rFonts w:hint="eastAsia" w:ascii="宋体" w:hAnsi="宋体"/>
          <w:color w:val="000000"/>
          <w:sz w:val="24"/>
          <w:szCs w:val="24"/>
        </w:rPr>
        <w:t>个日历日。</w:t>
      </w:r>
    </w:p>
    <w:p w14:paraId="6E54A228">
      <w:pPr>
        <w:spacing w:line="360" w:lineRule="auto"/>
        <w:ind w:firstLine="480" w:firstLineChars="200"/>
        <w:rPr>
          <w:rFonts w:ascii="宋体" w:hAnsi="宋体"/>
          <w:color w:val="000000"/>
          <w:sz w:val="24"/>
          <w:szCs w:val="24"/>
        </w:rPr>
      </w:pPr>
      <w:r>
        <w:rPr>
          <w:rFonts w:ascii="宋体" w:hAnsi="宋体"/>
          <w:color w:val="000000"/>
          <w:sz w:val="24"/>
          <w:szCs w:val="24"/>
        </w:rPr>
        <w:t>4</w:t>
      </w:r>
      <w:r>
        <w:rPr>
          <w:rFonts w:hint="eastAsia" w:ascii="宋体" w:hAnsi="宋体"/>
          <w:color w:val="000000"/>
          <w:sz w:val="24"/>
          <w:szCs w:val="24"/>
        </w:rPr>
        <w:t>.如中标，本投标文件至本项目合同履行完毕止均保持有效，本投标人将按“招标文件”及政府采购法律、法规的规定履行合同责任和义务。</w:t>
      </w:r>
    </w:p>
    <w:p w14:paraId="0D63F901">
      <w:pPr>
        <w:spacing w:line="360" w:lineRule="auto"/>
        <w:ind w:firstLine="480" w:firstLineChars="200"/>
        <w:rPr>
          <w:rFonts w:ascii="宋体" w:hAnsi="宋体"/>
          <w:color w:val="000000"/>
          <w:sz w:val="24"/>
          <w:szCs w:val="24"/>
        </w:rPr>
      </w:pPr>
      <w:r>
        <w:rPr>
          <w:rFonts w:ascii="宋体" w:hAnsi="宋体"/>
          <w:color w:val="000000"/>
          <w:sz w:val="24"/>
          <w:szCs w:val="24"/>
        </w:rPr>
        <w:t>5</w:t>
      </w:r>
      <w:r>
        <w:rPr>
          <w:rFonts w:hint="eastAsia" w:ascii="宋体" w:hAnsi="宋体"/>
          <w:color w:val="000000"/>
          <w:sz w:val="24"/>
          <w:szCs w:val="24"/>
        </w:rPr>
        <w:t>.投标人同意按照贵方要求提供与投标有关的一切数据或资料。</w:t>
      </w:r>
    </w:p>
    <w:p w14:paraId="2DC302A2">
      <w:pPr>
        <w:spacing w:line="360" w:lineRule="auto"/>
        <w:ind w:firstLine="480" w:firstLineChars="200"/>
        <w:rPr>
          <w:rFonts w:ascii="宋体" w:hAnsi="宋体"/>
          <w:color w:val="000000"/>
          <w:sz w:val="24"/>
          <w:szCs w:val="24"/>
        </w:rPr>
      </w:pPr>
      <w:r>
        <w:rPr>
          <w:rFonts w:ascii="宋体" w:hAnsi="宋体"/>
          <w:color w:val="000000"/>
          <w:sz w:val="24"/>
          <w:szCs w:val="24"/>
        </w:rPr>
        <w:t>6</w:t>
      </w:r>
      <w:r>
        <w:rPr>
          <w:rFonts w:hint="eastAsia" w:ascii="宋体" w:hAnsi="宋体"/>
          <w:color w:val="000000"/>
          <w:sz w:val="24"/>
          <w:szCs w:val="24"/>
        </w:rPr>
        <w:t>.与本投标有关的一切正式往来信函请寄：</w:t>
      </w:r>
    </w:p>
    <w:p w14:paraId="0A57C164">
      <w:pPr>
        <w:spacing w:line="360" w:lineRule="auto"/>
        <w:ind w:firstLine="480" w:firstLineChars="200"/>
        <w:rPr>
          <w:rFonts w:ascii="宋体" w:hAnsi="宋体"/>
          <w:color w:val="000000"/>
          <w:sz w:val="24"/>
          <w:szCs w:val="24"/>
        </w:rPr>
      </w:pPr>
      <w:r>
        <w:rPr>
          <w:rFonts w:hint="eastAsia" w:ascii="宋体" w:hAnsi="宋体"/>
          <w:color w:val="000000"/>
          <w:sz w:val="24"/>
          <w:szCs w:val="24"/>
        </w:rPr>
        <w:t>地址：</w:t>
      </w:r>
      <w:r>
        <w:rPr>
          <w:rFonts w:ascii="宋体" w:hAnsi="宋体"/>
          <w:color w:val="000000"/>
          <w:sz w:val="24"/>
          <w:szCs w:val="24"/>
        </w:rPr>
        <w:t xml:space="preserve">                             </w:t>
      </w:r>
    </w:p>
    <w:p w14:paraId="177E1538">
      <w:pPr>
        <w:spacing w:line="360" w:lineRule="auto"/>
        <w:ind w:firstLine="480" w:firstLineChars="200"/>
        <w:rPr>
          <w:rFonts w:ascii="宋体" w:hAnsi="宋体"/>
          <w:color w:val="000000"/>
          <w:sz w:val="24"/>
          <w:szCs w:val="24"/>
        </w:rPr>
      </w:pPr>
      <w:r>
        <w:rPr>
          <w:rFonts w:hint="eastAsia" w:ascii="宋体" w:hAnsi="宋体"/>
          <w:color w:val="000000"/>
          <w:sz w:val="24"/>
          <w:szCs w:val="24"/>
        </w:rPr>
        <w:t>邮编：</w:t>
      </w:r>
      <w:r>
        <w:rPr>
          <w:rFonts w:ascii="宋体" w:hAnsi="宋体"/>
          <w:color w:val="000000"/>
          <w:sz w:val="24"/>
          <w:szCs w:val="24"/>
        </w:rPr>
        <w:t xml:space="preserve">        </w:t>
      </w:r>
    </w:p>
    <w:p w14:paraId="5ED997E9">
      <w:pPr>
        <w:spacing w:line="360" w:lineRule="auto"/>
        <w:ind w:firstLine="480" w:firstLineChars="200"/>
        <w:rPr>
          <w:rFonts w:ascii="宋体" w:hAnsi="宋体"/>
          <w:color w:val="000000"/>
          <w:sz w:val="24"/>
          <w:szCs w:val="24"/>
        </w:rPr>
      </w:pPr>
      <w:r>
        <w:rPr>
          <w:rFonts w:hint="eastAsia" w:ascii="宋体" w:hAnsi="宋体"/>
          <w:color w:val="000000"/>
          <w:sz w:val="24"/>
          <w:szCs w:val="24"/>
        </w:rPr>
        <w:t>电话：</w:t>
      </w:r>
      <w:r>
        <w:rPr>
          <w:rFonts w:ascii="宋体" w:hAnsi="宋体"/>
          <w:color w:val="000000"/>
          <w:sz w:val="24"/>
          <w:szCs w:val="24"/>
        </w:rPr>
        <w:t xml:space="preserve">        </w:t>
      </w:r>
      <w:r>
        <w:rPr>
          <w:rFonts w:hint="eastAsia" w:ascii="宋体" w:hAnsi="宋体"/>
          <w:color w:val="000000"/>
          <w:sz w:val="24"/>
          <w:szCs w:val="24"/>
        </w:rPr>
        <w:t>传真：</w:t>
      </w:r>
      <w:r>
        <w:rPr>
          <w:rFonts w:ascii="宋体" w:hAnsi="宋体"/>
          <w:color w:val="000000"/>
          <w:sz w:val="24"/>
          <w:szCs w:val="24"/>
        </w:rPr>
        <w:t xml:space="preserve">                   </w:t>
      </w:r>
    </w:p>
    <w:p w14:paraId="77A71AEA">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投标人代表姓名：</w:t>
      </w:r>
      <w:r>
        <w:rPr>
          <w:rFonts w:hint="eastAsia" w:ascii="宋体" w:hAnsi="宋体"/>
          <w:color w:val="000000"/>
          <w:sz w:val="24"/>
          <w:szCs w:val="24"/>
          <w:u w:val="single"/>
        </w:rPr>
        <w:t xml:space="preserve">         </w:t>
      </w:r>
      <w:r>
        <w:rPr>
          <w:rFonts w:hint="eastAsia" w:ascii="宋体" w:hAnsi="宋体"/>
          <w:color w:val="000000"/>
          <w:sz w:val="24"/>
          <w:szCs w:val="24"/>
        </w:rPr>
        <w:t>职务：</w:t>
      </w:r>
      <w:r>
        <w:rPr>
          <w:rFonts w:ascii="宋体" w:hAnsi="宋体"/>
          <w:color w:val="000000"/>
          <w:sz w:val="24"/>
          <w:szCs w:val="24"/>
        </w:rPr>
        <w:t xml:space="preserve">          </w:t>
      </w:r>
    </w:p>
    <w:p w14:paraId="62C432FF">
      <w:pPr>
        <w:spacing w:line="360" w:lineRule="auto"/>
        <w:ind w:firstLine="480" w:firstLineChars="200"/>
        <w:rPr>
          <w:rFonts w:ascii="宋体" w:hAnsi="宋体"/>
          <w:color w:val="000000"/>
          <w:sz w:val="24"/>
          <w:szCs w:val="24"/>
        </w:rPr>
      </w:pPr>
      <w:r>
        <w:rPr>
          <w:rFonts w:hint="eastAsia" w:ascii="宋体" w:hAnsi="宋体"/>
          <w:color w:val="000000"/>
          <w:sz w:val="24"/>
          <w:szCs w:val="24"/>
        </w:rPr>
        <w:t>开户银行：</w:t>
      </w:r>
      <w:r>
        <w:rPr>
          <w:rFonts w:ascii="宋体" w:hAnsi="宋体"/>
          <w:color w:val="000000"/>
          <w:sz w:val="24"/>
          <w:szCs w:val="24"/>
        </w:rPr>
        <w:t xml:space="preserve">                   </w:t>
      </w:r>
    </w:p>
    <w:p w14:paraId="264EBD94">
      <w:pPr>
        <w:spacing w:line="360" w:lineRule="auto"/>
        <w:ind w:firstLine="480" w:firstLineChars="200"/>
        <w:rPr>
          <w:rFonts w:ascii="宋体" w:hAnsi="宋体"/>
          <w:color w:val="000000"/>
          <w:sz w:val="24"/>
          <w:szCs w:val="24"/>
        </w:rPr>
      </w:pPr>
      <w:r>
        <w:rPr>
          <w:rFonts w:hint="eastAsia" w:ascii="宋体" w:hAnsi="宋体"/>
          <w:color w:val="000000"/>
          <w:sz w:val="24"/>
          <w:szCs w:val="24"/>
        </w:rPr>
        <w:t>银行帐号：</w:t>
      </w:r>
      <w:r>
        <w:rPr>
          <w:rFonts w:ascii="宋体" w:hAnsi="宋体"/>
          <w:color w:val="000000"/>
          <w:sz w:val="24"/>
          <w:szCs w:val="24"/>
        </w:rPr>
        <w:t xml:space="preserve">                   </w:t>
      </w:r>
    </w:p>
    <w:p w14:paraId="725A5CEE">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投标人名称（</w:t>
      </w:r>
      <w:r>
        <w:rPr>
          <w:rFonts w:hint="eastAsia" w:ascii="宋体" w:hAnsi="宋体"/>
          <w:bCs/>
          <w:color w:val="000000"/>
          <w:sz w:val="24"/>
          <w:szCs w:val="24"/>
        </w:rPr>
        <w:t>盖章）</w:t>
      </w:r>
      <w:r>
        <w:rPr>
          <w:rFonts w:ascii="宋体" w:hAnsi="宋体"/>
          <w:color w:val="000000"/>
          <w:sz w:val="24"/>
          <w:szCs w:val="24"/>
        </w:rPr>
        <w:t xml:space="preserve">: </w:t>
      </w:r>
    </w:p>
    <w:p w14:paraId="4F968CFD">
      <w:pPr>
        <w:spacing w:line="360" w:lineRule="auto"/>
        <w:ind w:firstLine="480" w:firstLineChars="200"/>
        <w:rPr>
          <w:rFonts w:ascii="宋体" w:hAnsi="宋体"/>
          <w:color w:val="000000"/>
          <w:sz w:val="24"/>
          <w:szCs w:val="24"/>
        </w:rPr>
      </w:pPr>
      <w:r>
        <w:rPr>
          <w:rFonts w:hint="eastAsia" w:ascii="宋体" w:hAnsi="宋体"/>
          <w:color w:val="000000"/>
          <w:sz w:val="24"/>
          <w:szCs w:val="24"/>
        </w:rPr>
        <w:t>授权代表签字</w:t>
      </w:r>
      <w:r>
        <w:rPr>
          <w:rFonts w:hint="eastAsia" w:ascii="宋体" w:hAnsi="宋体"/>
          <w:bCs/>
          <w:color w:val="000000"/>
          <w:sz w:val="24"/>
          <w:szCs w:val="24"/>
        </w:rPr>
        <w:t>：</w:t>
      </w:r>
    </w:p>
    <w:p w14:paraId="46F38969">
      <w:pPr>
        <w:spacing w:line="360" w:lineRule="auto"/>
        <w:ind w:firstLine="480" w:firstLineChars="200"/>
        <w:rPr>
          <w:rFonts w:ascii="宋体" w:hAnsi="宋体"/>
          <w:color w:val="000000"/>
          <w:sz w:val="24"/>
          <w:szCs w:val="24"/>
        </w:rPr>
      </w:pPr>
      <w:r>
        <w:rPr>
          <w:rFonts w:hint="eastAsia" w:ascii="宋体" w:hAnsi="宋体"/>
          <w:color w:val="000000"/>
          <w:sz w:val="24"/>
          <w:szCs w:val="24"/>
        </w:rPr>
        <w:t>日期：</w:t>
      </w:r>
      <w:r>
        <w:rPr>
          <w:rFonts w:ascii="宋体" w:hAnsi="宋体"/>
          <w:color w:val="000000"/>
          <w:sz w:val="24"/>
          <w:szCs w:val="24"/>
        </w:rPr>
        <w:t xml:space="preserve">     </w:t>
      </w: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p w14:paraId="5C1A7AC4">
      <w:pPr>
        <w:rPr>
          <w:rFonts w:ascii="宋体"/>
          <w:b/>
          <w:color w:val="000000"/>
          <w:szCs w:val="24"/>
        </w:rPr>
      </w:pPr>
    </w:p>
    <w:p w14:paraId="7FDD44E9">
      <w:pPr>
        <w:pStyle w:val="15"/>
      </w:pPr>
    </w:p>
    <w:p w14:paraId="473D4FD6">
      <w:pPr>
        <w:pStyle w:val="73"/>
        <w:numPr>
          <w:ilvl w:val="0"/>
          <w:numId w:val="0"/>
        </w:numPr>
        <w:rPr>
          <w:rFonts w:ascii="宋体" w:hAnsi="宋体" w:eastAsia="宋体" w:cs="宋体"/>
          <w:sz w:val="32"/>
          <w:szCs w:val="32"/>
          <w:highlight w:val="yellow"/>
        </w:rPr>
      </w:pPr>
      <w:bookmarkStart w:id="30" w:name="_Toc47976618"/>
      <w:bookmarkStart w:id="31" w:name="_Toc29366865"/>
      <w:bookmarkStart w:id="32" w:name="_Toc29366869"/>
      <w:r>
        <w:rPr>
          <w:rFonts w:hint="eastAsia" w:ascii="宋体" w:hAnsi="宋体" w:eastAsia="宋体" w:cs="宋体"/>
          <w:sz w:val="32"/>
          <w:szCs w:val="32"/>
          <w:highlight w:val="yellow"/>
        </w:rPr>
        <w:t>附件2</w:t>
      </w:r>
    </w:p>
    <w:bookmarkEnd w:id="30"/>
    <w:p w14:paraId="64B50869">
      <w:pPr>
        <w:spacing w:line="360" w:lineRule="auto"/>
        <w:jc w:val="center"/>
        <w:rPr>
          <w:rFonts w:ascii="宋体" w:hAnsi="宋体" w:cs="宋体"/>
          <w:color w:val="000000"/>
          <w:sz w:val="32"/>
          <w:szCs w:val="32"/>
        </w:rPr>
      </w:pPr>
      <w:r>
        <w:rPr>
          <w:rFonts w:hint="eastAsia" w:ascii="宋体" w:hAnsi="宋体" w:cs="宋体"/>
          <w:b/>
          <w:bCs/>
          <w:color w:val="000000"/>
          <w:sz w:val="32"/>
          <w:szCs w:val="32"/>
        </w:rPr>
        <w:t>法定代表人授权委托书</w:t>
      </w:r>
    </w:p>
    <w:p w14:paraId="1BE51399">
      <w:pPr>
        <w:spacing w:line="360" w:lineRule="auto"/>
        <w:ind w:firstLine="480" w:firstLineChars="200"/>
        <w:rPr>
          <w:rFonts w:ascii="宋体" w:hAnsi="宋体"/>
          <w:color w:val="000000"/>
          <w:sz w:val="24"/>
          <w:szCs w:val="24"/>
        </w:rPr>
      </w:pPr>
      <w:r>
        <w:rPr>
          <w:rFonts w:hint="eastAsia" w:ascii="宋体" w:hAnsi="宋体"/>
          <w:color w:val="000000"/>
          <w:sz w:val="24"/>
          <w:szCs w:val="24"/>
        </w:rPr>
        <w:t>本授权委托书声明：我＿＿＿＿＿＿＿（姓名）系＿＿＿＿＿＿＿＿＿＿＿＿＿＿＿＿＿＿＿＿＿＿＿＿（投标人全称）的法定代表人，就</w:t>
      </w:r>
      <w:r>
        <w:rPr>
          <w:rFonts w:ascii="宋体" w:hAnsi="宋体"/>
          <w:b/>
          <w:bCs/>
          <w:color w:val="000000"/>
          <w:sz w:val="24"/>
          <w:szCs w:val="24"/>
          <w:u w:val="single"/>
        </w:rPr>
        <w:t xml:space="preserve"> </w:t>
      </w:r>
      <w:r>
        <w:rPr>
          <w:rFonts w:hint="eastAsia" w:ascii="宋体" w:hAnsi="宋体"/>
          <w:b/>
          <w:bCs/>
          <w:color w:val="000000"/>
          <w:sz w:val="24"/>
          <w:szCs w:val="24"/>
          <w:u w:val="single"/>
        </w:rPr>
        <w:t xml:space="preserve">                      </w:t>
      </w:r>
      <w:r>
        <w:rPr>
          <w:rFonts w:hint="eastAsia" w:ascii="宋体" w:hAnsi="宋体"/>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44B9ADF8">
      <w:pPr>
        <w:spacing w:line="360" w:lineRule="auto"/>
        <w:ind w:firstLine="480" w:firstLineChars="200"/>
        <w:rPr>
          <w:rFonts w:ascii="宋体" w:hAnsi="宋体"/>
          <w:color w:val="000000"/>
          <w:sz w:val="24"/>
          <w:szCs w:val="24"/>
        </w:rPr>
      </w:pPr>
      <w:r>
        <w:rPr>
          <w:rFonts w:hint="eastAsia" w:ascii="宋体" w:hAnsi="宋体"/>
          <w:color w:val="000000"/>
          <w:sz w:val="24"/>
          <w:szCs w:val="24"/>
        </w:rPr>
        <w:t>全权代表无转委权。特此委托。</w:t>
      </w:r>
    </w:p>
    <w:tbl>
      <w:tblPr>
        <w:tblStyle w:val="31"/>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C8381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623837A6">
            <w:pPr>
              <w:adjustRightInd w:val="0"/>
              <w:snapToGrid w:val="0"/>
              <w:spacing w:before="93" w:beforeLines="30" w:line="312" w:lineRule="auto"/>
              <w:jc w:val="center"/>
              <w:rPr>
                <w:rFonts w:ascii="宋体" w:hAnsi="Calibri"/>
                <w:sz w:val="24"/>
              </w:rPr>
            </w:pPr>
            <w:r>
              <w:rPr>
                <w:rFonts w:hint="eastAsia" w:ascii="宋体" w:hAnsi="宋体"/>
                <w:sz w:val="24"/>
              </w:rPr>
              <w:t>附法人身份证明复印件（</w:t>
            </w:r>
            <w:r>
              <w:rPr>
                <w:rFonts w:hint="eastAsia" w:ascii="宋体" w:hAnsi="宋体"/>
                <w:color w:val="000000" w:themeColor="text1"/>
                <w:sz w:val="24"/>
                <w14:textFill>
                  <w14:solidFill>
                    <w14:schemeClr w14:val="tx1"/>
                  </w14:solidFill>
                </w14:textFill>
              </w:rPr>
              <w:t>正反面）</w:t>
            </w:r>
          </w:p>
          <w:p w14:paraId="2830A14E">
            <w:pPr>
              <w:adjustRightInd w:val="0"/>
              <w:snapToGrid w:val="0"/>
              <w:spacing w:before="93" w:beforeLines="30" w:line="312" w:lineRule="auto"/>
              <w:jc w:val="center"/>
              <w:rPr>
                <w:rFonts w:ascii="宋体" w:hAnsi="Calibri"/>
                <w:sz w:val="24"/>
              </w:rPr>
            </w:pPr>
            <w:r>
              <w:rPr>
                <w:rFonts w:hint="eastAsia" w:ascii="宋体" w:hAnsi="宋体"/>
                <w:sz w:val="24"/>
              </w:rPr>
              <w:t>附授权代理人身份证明复印件（正反面）</w:t>
            </w:r>
          </w:p>
        </w:tc>
      </w:tr>
    </w:tbl>
    <w:p w14:paraId="46616769">
      <w:pPr>
        <w:spacing w:line="360" w:lineRule="auto"/>
        <w:ind w:firstLine="480" w:firstLineChars="200"/>
        <w:rPr>
          <w:rFonts w:ascii="宋体" w:hAnsi="宋体"/>
          <w:color w:val="000000"/>
          <w:sz w:val="24"/>
          <w:szCs w:val="24"/>
        </w:rPr>
      </w:pPr>
      <w:r>
        <w:rPr>
          <w:rFonts w:hint="eastAsia" w:ascii="宋体" w:hAnsi="宋体"/>
          <w:color w:val="000000"/>
          <w:sz w:val="24"/>
          <w:szCs w:val="24"/>
        </w:rPr>
        <w:t>全权代表姓名：</w:t>
      </w:r>
      <w:r>
        <w:rPr>
          <w:rFonts w:ascii="宋体" w:hAnsi="宋体"/>
          <w:color w:val="000000"/>
          <w:sz w:val="24"/>
          <w:szCs w:val="24"/>
        </w:rPr>
        <w:t xml:space="preserve">            </w:t>
      </w:r>
      <w:r>
        <w:rPr>
          <w:rFonts w:hint="eastAsia" w:ascii="宋体" w:hAnsi="宋体"/>
          <w:color w:val="000000"/>
          <w:sz w:val="24"/>
          <w:szCs w:val="24"/>
        </w:rPr>
        <w:t>性别：</w:t>
      </w:r>
      <w:r>
        <w:rPr>
          <w:rFonts w:ascii="宋体" w:hAnsi="宋体"/>
          <w:color w:val="000000"/>
          <w:sz w:val="24"/>
          <w:szCs w:val="24"/>
        </w:rPr>
        <w:t xml:space="preserve">          </w:t>
      </w:r>
      <w:r>
        <w:rPr>
          <w:rFonts w:hint="eastAsia" w:ascii="宋体" w:hAnsi="宋体"/>
          <w:color w:val="000000"/>
          <w:sz w:val="24"/>
          <w:szCs w:val="24"/>
        </w:rPr>
        <w:t>年龄：</w:t>
      </w:r>
    </w:p>
    <w:p w14:paraId="7AAC5B91">
      <w:pPr>
        <w:spacing w:line="360" w:lineRule="auto"/>
        <w:ind w:firstLine="480" w:firstLineChars="200"/>
        <w:rPr>
          <w:rFonts w:ascii="宋体" w:hAnsi="宋体"/>
          <w:color w:val="000000"/>
          <w:sz w:val="24"/>
          <w:szCs w:val="24"/>
        </w:rPr>
      </w:pPr>
      <w:r>
        <w:rPr>
          <w:rFonts w:hint="eastAsia" w:ascii="宋体" w:hAnsi="宋体"/>
          <w:color w:val="000000"/>
          <w:sz w:val="24"/>
          <w:szCs w:val="24"/>
        </w:rPr>
        <w:t>单位：</w:t>
      </w:r>
      <w:r>
        <w:rPr>
          <w:rFonts w:ascii="宋体" w:hAnsi="宋体"/>
          <w:color w:val="000000"/>
          <w:sz w:val="24"/>
          <w:szCs w:val="24"/>
        </w:rPr>
        <w:t xml:space="preserve">                    </w:t>
      </w:r>
      <w:r>
        <w:rPr>
          <w:rFonts w:hint="eastAsia" w:ascii="宋体" w:hAnsi="宋体"/>
          <w:color w:val="000000"/>
          <w:sz w:val="24"/>
          <w:szCs w:val="24"/>
        </w:rPr>
        <w:t>部门：</w:t>
      </w:r>
      <w:r>
        <w:rPr>
          <w:rFonts w:ascii="宋体" w:hAnsi="宋体"/>
          <w:color w:val="000000"/>
          <w:sz w:val="24"/>
          <w:szCs w:val="24"/>
        </w:rPr>
        <w:t xml:space="preserve">          </w:t>
      </w:r>
      <w:r>
        <w:rPr>
          <w:rFonts w:hint="eastAsia" w:ascii="宋体" w:hAnsi="宋体"/>
          <w:color w:val="000000"/>
          <w:sz w:val="24"/>
          <w:szCs w:val="24"/>
        </w:rPr>
        <w:t>职务：</w:t>
      </w:r>
    </w:p>
    <w:p w14:paraId="6041155E">
      <w:pPr>
        <w:spacing w:line="360" w:lineRule="auto"/>
        <w:ind w:firstLine="480" w:firstLineChars="200"/>
        <w:rPr>
          <w:rFonts w:ascii="宋体" w:hAnsi="宋体"/>
          <w:color w:val="000000"/>
          <w:sz w:val="24"/>
          <w:szCs w:val="24"/>
        </w:rPr>
      </w:pPr>
      <w:r>
        <w:rPr>
          <w:rFonts w:hint="eastAsia" w:ascii="宋体" w:hAnsi="宋体"/>
          <w:color w:val="000000"/>
          <w:sz w:val="24"/>
          <w:szCs w:val="24"/>
        </w:rPr>
        <w:t>法定代表人签字或盖章</w:t>
      </w:r>
      <w:r>
        <w:rPr>
          <w:rFonts w:ascii="宋体" w:hAnsi="宋体"/>
          <w:color w:val="000000"/>
          <w:sz w:val="24"/>
          <w:szCs w:val="24"/>
        </w:rPr>
        <w:t xml:space="preserve">                          </w:t>
      </w:r>
    </w:p>
    <w:p w14:paraId="03E7C432">
      <w:pPr>
        <w:spacing w:line="360" w:lineRule="auto"/>
        <w:ind w:firstLine="480" w:firstLineChars="200"/>
        <w:rPr>
          <w:rFonts w:ascii="宋体" w:hAnsi="宋体"/>
          <w:color w:val="000000"/>
          <w:sz w:val="24"/>
          <w:szCs w:val="24"/>
        </w:rPr>
      </w:pPr>
      <w:r>
        <w:rPr>
          <w:rFonts w:hint="eastAsia" w:ascii="宋体" w:hAnsi="宋体"/>
          <w:color w:val="000000"/>
          <w:sz w:val="24"/>
          <w:szCs w:val="24"/>
        </w:rPr>
        <w:t>被授权人签字</w:t>
      </w:r>
      <w:r>
        <w:rPr>
          <w:rFonts w:ascii="宋体" w:hAnsi="宋体"/>
          <w:color w:val="000000"/>
          <w:sz w:val="24"/>
          <w:szCs w:val="24"/>
        </w:rPr>
        <w:t xml:space="preserve">  </w:t>
      </w:r>
    </w:p>
    <w:p w14:paraId="4D58F508">
      <w:pPr>
        <w:spacing w:line="360" w:lineRule="auto"/>
        <w:ind w:firstLine="480" w:firstLineChars="200"/>
        <w:rPr>
          <w:rFonts w:ascii="宋体" w:hAnsi="宋体"/>
          <w:color w:val="000000"/>
          <w:sz w:val="24"/>
          <w:szCs w:val="24"/>
        </w:rPr>
      </w:pPr>
      <w:r>
        <w:rPr>
          <w:rFonts w:hint="eastAsia" w:ascii="宋体" w:hAnsi="宋体"/>
          <w:color w:val="000000"/>
          <w:sz w:val="24"/>
          <w:szCs w:val="24"/>
        </w:rPr>
        <w:t>被授权人电话：</w:t>
      </w:r>
      <w:r>
        <w:rPr>
          <w:rFonts w:ascii="宋体" w:hAnsi="宋体"/>
          <w:color w:val="000000"/>
          <w:sz w:val="24"/>
          <w:szCs w:val="24"/>
        </w:rPr>
        <w:t xml:space="preserve">   </w:t>
      </w:r>
    </w:p>
    <w:p w14:paraId="588AB9B3">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投标人名称（公章）</w:t>
      </w:r>
      <w:r>
        <w:rPr>
          <w:rFonts w:ascii="宋体" w:hAnsi="宋体"/>
          <w:color w:val="000000"/>
          <w:sz w:val="24"/>
          <w:szCs w:val="24"/>
        </w:rPr>
        <w:t xml:space="preserve">                       </w:t>
      </w:r>
    </w:p>
    <w:p w14:paraId="7E441B46">
      <w:pPr>
        <w:spacing w:line="460" w:lineRule="exact"/>
        <w:ind w:firstLine="5520" w:firstLineChars="2300"/>
        <w:rPr>
          <w:rFonts w:ascii="宋体" w:hAnsi="宋体"/>
          <w:sz w:val="24"/>
        </w:rPr>
      </w:pP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2C9F0E7A">
      <w:pPr>
        <w:pStyle w:val="15"/>
      </w:pPr>
    </w:p>
    <w:p w14:paraId="6976DF52">
      <w:pPr>
        <w:pStyle w:val="15"/>
      </w:pPr>
    </w:p>
    <w:p w14:paraId="4899F656">
      <w:pPr>
        <w:pStyle w:val="15"/>
      </w:pPr>
    </w:p>
    <w:p w14:paraId="633F3453">
      <w:pPr>
        <w:pStyle w:val="15"/>
      </w:pPr>
    </w:p>
    <w:p w14:paraId="0C0897B0">
      <w:pPr>
        <w:pStyle w:val="15"/>
      </w:pPr>
    </w:p>
    <w:p w14:paraId="6815929F">
      <w:pPr>
        <w:pStyle w:val="15"/>
      </w:pPr>
    </w:p>
    <w:p w14:paraId="50EC2E4D">
      <w:pPr>
        <w:pStyle w:val="15"/>
      </w:pPr>
    </w:p>
    <w:p w14:paraId="1A8CD5F5">
      <w:pPr>
        <w:pStyle w:val="15"/>
      </w:pPr>
    </w:p>
    <w:p w14:paraId="0EA1E949">
      <w:pPr>
        <w:pStyle w:val="118"/>
      </w:pPr>
      <w:r>
        <w:rPr>
          <w:rFonts w:hint="eastAsia" w:cs="宋体"/>
        </w:rPr>
        <w:t>附件</w:t>
      </w:r>
      <w:r>
        <w:rPr>
          <w:rFonts w:cs="宋体"/>
        </w:rPr>
        <w:t xml:space="preserve">3 </w:t>
      </w:r>
      <w:r>
        <w:rPr>
          <w:rFonts w:hint="eastAsia"/>
          <w:color w:val="auto"/>
        </w:rPr>
        <w:t>技术规格偏离表</w:t>
      </w:r>
    </w:p>
    <w:p w14:paraId="06C0BC7A">
      <w:pPr>
        <w:spacing w:line="600" w:lineRule="exact"/>
        <w:ind w:firstLine="141"/>
        <w:jc w:val="left"/>
      </w:pPr>
      <w:r>
        <w:rPr>
          <w:rFonts w:hint="eastAsia"/>
        </w:rPr>
        <w:t>项目名</w:t>
      </w:r>
      <w:r>
        <w:rPr>
          <w:rFonts w:hint="eastAsia" w:ascii="宋体" w:hAnsi="宋体"/>
          <w:sz w:val="24"/>
          <w:szCs w:val="24"/>
        </w:rPr>
        <w:t>称：</w:t>
      </w:r>
      <w:r>
        <w:rPr>
          <w:rFonts w:ascii="宋体" w:hAnsi="宋体"/>
          <w:sz w:val="24"/>
          <w:szCs w:val="24"/>
        </w:rPr>
        <w:t>E3.Series软件</w:t>
      </w:r>
      <w:r>
        <w:rPr>
          <w:rFonts w:hint="eastAsia" w:ascii="宋体" w:hAnsi="宋体"/>
          <w:sz w:val="24"/>
          <w:szCs w:val="24"/>
        </w:rPr>
        <w:t>增购项目</w:t>
      </w:r>
      <w:r>
        <w:rPr>
          <w:rFonts w:hint="eastAsia"/>
        </w:rPr>
        <w:t xml:space="preserve">                                                           </w:t>
      </w:r>
    </w:p>
    <w:tbl>
      <w:tblPr>
        <w:tblStyle w:val="3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3"/>
        <w:gridCol w:w="3450"/>
        <w:gridCol w:w="2416"/>
        <w:gridCol w:w="1606"/>
      </w:tblGrid>
      <w:tr w14:paraId="50B24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4" w:type="pct"/>
            <w:vAlign w:val="center"/>
          </w:tcPr>
          <w:p w14:paraId="1C4C0342">
            <w:pPr>
              <w:pStyle w:val="116"/>
            </w:pPr>
            <w:r>
              <w:rPr>
                <w:rFonts w:hint="eastAsia"/>
              </w:rPr>
              <w:t>序号</w:t>
            </w:r>
          </w:p>
        </w:tc>
        <w:tc>
          <w:tcPr>
            <w:tcW w:w="1905" w:type="pct"/>
            <w:vAlign w:val="center"/>
          </w:tcPr>
          <w:p w14:paraId="713D905C">
            <w:pPr>
              <w:pStyle w:val="116"/>
            </w:pPr>
            <w:r>
              <w:rPr>
                <w:rFonts w:hint="eastAsia"/>
              </w:rPr>
              <w:t>招标要求</w:t>
            </w:r>
          </w:p>
        </w:tc>
        <w:tc>
          <w:tcPr>
            <w:tcW w:w="1334" w:type="pct"/>
            <w:vAlign w:val="center"/>
          </w:tcPr>
          <w:p w14:paraId="55009E67">
            <w:pPr>
              <w:pStyle w:val="116"/>
            </w:pPr>
            <w:r>
              <w:rPr>
                <w:rFonts w:hint="eastAsia"/>
              </w:rPr>
              <w:t>响应规格</w:t>
            </w:r>
          </w:p>
        </w:tc>
        <w:tc>
          <w:tcPr>
            <w:tcW w:w="887" w:type="pct"/>
            <w:vAlign w:val="center"/>
          </w:tcPr>
          <w:p w14:paraId="7EE57867">
            <w:pPr>
              <w:pStyle w:val="116"/>
            </w:pPr>
            <w:r>
              <w:rPr>
                <w:rFonts w:hint="eastAsia"/>
              </w:rPr>
              <w:t>是否偏离</w:t>
            </w:r>
          </w:p>
        </w:tc>
      </w:tr>
      <w:tr w14:paraId="4C821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4" w:type="pct"/>
            <w:vAlign w:val="center"/>
          </w:tcPr>
          <w:p w14:paraId="1AEAD047">
            <w:pPr>
              <w:pStyle w:val="116"/>
            </w:pPr>
            <w:r>
              <w:rPr>
                <w:rFonts w:hint="eastAsia"/>
              </w:rPr>
              <w:t>1</w:t>
            </w:r>
          </w:p>
        </w:tc>
        <w:tc>
          <w:tcPr>
            <w:tcW w:w="1905" w:type="pct"/>
            <w:vAlign w:val="center"/>
          </w:tcPr>
          <w:p w14:paraId="0DA45D7D">
            <w:pPr>
              <w:pStyle w:val="120"/>
              <w:adjustRightInd w:val="0"/>
              <w:snapToGrid w:val="0"/>
              <w:spacing w:before="156" w:beforeLines="50" w:after="156" w:afterLines="50" w:line="240" w:lineRule="atLeast"/>
              <w:ind w:left="420"/>
              <w:jc w:val="both"/>
              <w:rPr>
                <w:bCs/>
              </w:rPr>
            </w:pPr>
          </w:p>
        </w:tc>
        <w:tc>
          <w:tcPr>
            <w:tcW w:w="1334" w:type="pct"/>
            <w:vAlign w:val="center"/>
          </w:tcPr>
          <w:p w14:paraId="55385677">
            <w:pPr>
              <w:pStyle w:val="116"/>
            </w:pPr>
          </w:p>
        </w:tc>
        <w:tc>
          <w:tcPr>
            <w:tcW w:w="887" w:type="pct"/>
            <w:vAlign w:val="center"/>
          </w:tcPr>
          <w:p w14:paraId="27C9F12D">
            <w:pPr>
              <w:pStyle w:val="116"/>
            </w:pPr>
          </w:p>
        </w:tc>
      </w:tr>
      <w:tr w14:paraId="58149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4" w:type="pct"/>
            <w:vAlign w:val="center"/>
          </w:tcPr>
          <w:p w14:paraId="4A3CF5C9">
            <w:pPr>
              <w:pStyle w:val="116"/>
            </w:pPr>
            <w:r>
              <w:rPr>
                <w:rFonts w:hint="eastAsia"/>
              </w:rPr>
              <w:t>2</w:t>
            </w:r>
          </w:p>
        </w:tc>
        <w:tc>
          <w:tcPr>
            <w:tcW w:w="1905" w:type="pct"/>
            <w:vAlign w:val="center"/>
          </w:tcPr>
          <w:p w14:paraId="6F4E1A70">
            <w:pPr>
              <w:pStyle w:val="120"/>
              <w:adjustRightInd w:val="0"/>
              <w:snapToGrid w:val="0"/>
              <w:spacing w:before="156" w:beforeLines="50" w:after="156" w:afterLines="50" w:line="240" w:lineRule="atLeast"/>
              <w:ind w:left="420"/>
              <w:jc w:val="both"/>
              <w:rPr>
                <w:bCs/>
              </w:rPr>
            </w:pPr>
          </w:p>
        </w:tc>
        <w:tc>
          <w:tcPr>
            <w:tcW w:w="1334" w:type="pct"/>
            <w:vAlign w:val="center"/>
          </w:tcPr>
          <w:p w14:paraId="27BD6C2F">
            <w:pPr>
              <w:pStyle w:val="116"/>
            </w:pPr>
          </w:p>
        </w:tc>
        <w:tc>
          <w:tcPr>
            <w:tcW w:w="887" w:type="pct"/>
            <w:vAlign w:val="center"/>
          </w:tcPr>
          <w:p w14:paraId="2F40A79D">
            <w:pPr>
              <w:pStyle w:val="116"/>
            </w:pPr>
          </w:p>
        </w:tc>
      </w:tr>
      <w:tr w14:paraId="20D17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4" w:type="pct"/>
            <w:vAlign w:val="center"/>
          </w:tcPr>
          <w:p w14:paraId="1DAF7DF5">
            <w:pPr>
              <w:pStyle w:val="116"/>
            </w:pPr>
            <w:r>
              <w:rPr>
                <w:rFonts w:hint="eastAsia"/>
              </w:rPr>
              <w:t>3</w:t>
            </w:r>
          </w:p>
        </w:tc>
        <w:tc>
          <w:tcPr>
            <w:tcW w:w="1905" w:type="pct"/>
            <w:vAlign w:val="center"/>
          </w:tcPr>
          <w:p w14:paraId="477CE200">
            <w:pPr>
              <w:pStyle w:val="116"/>
              <w:ind w:firstLine="420" w:firstLineChars="200"/>
              <w:rPr>
                <w:b w:val="0"/>
                <w:bCs/>
              </w:rPr>
            </w:pPr>
          </w:p>
        </w:tc>
        <w:tc>
          <w:tcPr>
            <w:tcW w:w="1334" w:type="pct"/>
            <w:vAlign w:val="center"/>
          </w:tcPr>
          <w:p w14:paraId="7292A7F8">
            <w:pPr>
              <w:pStyle w:val="116"/>
            </w:pPr>
          </w:p>
        </w:tc>
        <w:tc>
          <w:tcPr>
            <w:tcW w:w="887" w:type="pct"/>
            <w:vAlign w:val="center"/>
          </w:tcPr>
          <w:p w14:paraId="0A144E13">
            <w:pPr>
              <w:pStyle w:val="116"/>
            </w:pPr>
          </w:p>
        </w:tc>
      </w:tr>
      <w:tr w14:paraId="3BE4B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exact"/>
        </w:trPr>
        <w:tc>
          <w:tcPr>
            <w:tcW w:w="874" w:type="pct"/>
            <w:vAlign w:val="center"/>
          </w:tcPr>
          <w:p w14:paraId="4BB01C82">
            <w:pPr>
              <w:pStyle w:val="116"/>
            </w:pPr>
            <w:r>
              <w:rPr>
                <w:rFonts w:hint="eastAsia"/>
              </w:rPr>
              <w:t>4</w:t>
            </w:r>
          </w:p>
        </w:tc>
        <w:tc>
          <w:tcPr>
            <w:tcW w:w="1905" w:type="pct"/>
            <w:vAlign w:val="center"/>
          </w:tcPr>
          <w:p w14:paraId="20B34343">
            <w:pPr>
              <w:pStyle w:val="120"/>
              <w:adjustRightInd w:val="0"/>
              <w:snapToGrid w:val="0"/>
              <w:spacing w:before="156" w:beforeLines="50" w:after="156" w:afterLines="50" w:line="240" w:lineRule="atLeast"/>
              <w:ind w:left="420"/>
              <w:jc w:val="both"/>
              <w:rPr>
                <w:bCs/>
              </w:rPr>
            </w:pPr>
          </w:p>
        </w:tc>
        <w:tc>
          <w:tcPr>
            <w:tcW w:w="1334" w:type="pct"/>
            <w:vAlign w:val="center"/>
          </w:tcPr>
          <w:p w14:paraId="04E4E690">
            <w:pPr>
              <w:pStyle w:val="116"/>
            </w:pPr>
          </w:p>
        </w:tc>
        <w:tc>
          <w:tcPr>
            <w:tcW w:w="887" w:type="pct"/>
            <w:vAlign w:val="center"/>
          </w:tcPr>
          <w:p w14:paraId="03AE2308">
            <w:pPr>
              <w:pStyle w:val="116"/>
            </w:pPr>
          </w:p>
        </w:tc>
      </w:tr>
      <w:tr w14:paraId="63DC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4" w:type="pct"/>
            <w:vAlign w:val="center"/>
          </w:tcPr>
          <w:p w14:paraId="6ECD5834">
            <w:pPr>
              <w:pStyle w:val="116"/>
            </w:pPr>
            <w:r>
              <w:rPr>
                <w:rFonts w:hint="eastAsia"/>
              </w:rPr>
              <w:t>5</w:t>
            </w:r>
          </w:p>
        </w:tc>
        <w:tc>
          <w:tcPr>
            <w:tcW w:w="1905" w:type="pct"/>
            <w:vAlign w:val="center"/>
          </w:tcPr>
          <w:p w14:paraId="6AC61072">
            <w:pPr>
              <w:pStyle w:val="120"/>
              <w:adjustRightInd w:val="0"/>
              <w:snapToGrid w:val="0"/>
              <w:spacing w:before="156" w:beforeLines="50" w:after="156" w:afterLines="50" w:line="240" w:lineRule="atLeast"/>
              <w:ind w:left="420"/>
              <w:jc w:val="both"/>
              <w:rPr>
                <w:bCs/>
              </w:rPr>
            </w:pPr>
          </w:p>
        </w:tc>
        <w:tc>
          <w:tcPr>
            <w:tcW w:w="1334" w:type="pct"/>
            <w:vAlign w:val="center"/>
          </w:tcPr>
          <w:p w14:paraId="00D90CC6">
            <w:pPr>
              <w:pStyle w:val="116"/>
            </w:pPr>
          </w:p>
        </w:tc>
        <w:tc>
          <w:tcPr>
            <w:tcW w:w="887" w:type="pct"/>
            <w:vAlign w:val="center"/>
          </w:tcPr>
          <w:p w14:paraId="0BAF48D4">
            <w:pPr>
              <w:pStyle w:val="116"/>
            </w:pPr>
          </w:p>
        </w:tc>
      </w:tr>
      <w:tr w14:paraId="3E9A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4" w:type="pct"/>
            <w:vAlign w:val="center"/>
          </w:tcPr>
          <w:p w14:paraId="729D6CC5">
            <w:pPr>
              <w:pStyle w:val="116"/>
            </w:pPr>
            <w:r>
              <w:rPr>
                <w:rFonts w:hint="eastAsia"/>
              </w:rPr>
              <w:t>6</w:t>
            </w:r>
          </w:p>
        </w:tc>
        <w:tc>
          <w:tcPr>
            <w:tcW w:w="1905" w:type="pct"/>
            <w:vAlign w:val="center"/>
          </w:tcPr>
          <w:p w14:paraId="04205A28">
            <w:pPr>
              <w:pStyle w:val="120"/>
              <w:adjustRightInd w:val="0"/>
              <w:snapToGrid w:val="0"/>
              <w:spacing w:before="156" w:beforeLines="50" w:after="156" w:afterLines="50" w:line="240" w:lineRule="atLeast"/>
              <w:ind w:left="420"/>
              <w:jc w:val="both"/>
              <w:rPr>
                <w:bCs/>
              </w:rPr>
            </w:pPr>
          </w:p>
        </w:tc>
        <w:tc>
          <w:tcPr>
            <w:tcW w:w="1334" w:type="pct"/>
            <w:vAlign w:val="center"/>
          </w:tcPr>
          <w:p w14:paraId="7644DC8B">
            <w:pPr>
              <w:pStyle w:val="116"/>
            </w:pPr>
          </w:p>
        </w:tc>
        <w:tc>
          <w:tcPr>
            <w:tcW w:w="887" w:type="pct"/>
            <w:vAlign w:val="center"/>
          </w:tcPr>
          <w:p w14:paraId="720742DC">
            <w:pPr>
              <w:pStyle w:val="116"/>
            </w:pPr>
          </w:p>
        </w:tc>
      </w:tr>
      <w:tr w14:paraId="48EF0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4" w:type="pct"/>
            <w:vAlign w:val="center"/>
          </w:tcPr>
          <w:p w14:paraId="045A02A2">
            <w:pPr>
              <w:pStyle w:val="116"/>
            </w:pPr>
            <w:r>
              <w:rPr>
                <w:rFonts w:hint="eastAsia"/>
              </w:rPr>
              <w:t>7</w:t>
            </w:r>
          </w:p>
        </w:tc>
        <w:tc>
          <w:tcPr>
            <w:tcW w:w="1905" w:type="pct"/>
            <w:vAlign w:val="center"/>
          </w:tcPr>
          <w:p w14:paraId="4069BA8A">
            <w:pPr>
              <w:pStyle w:val="116"/>
            </w:pPr>
          </w:p>
        </w:tc>
        <w:tc>
          <w:tcPr>
            <w:tcW w:w="1334" w:type="pct"/>
            <w:vAlign w:val="center"/>
          </w:tcPr>
          <w:p w14:paraId="20C55E56">
            <w:pPr>
              <w:pStyle w:val="116"/>
            </w:pPr>
          </w:p>
        </w:tc>
        <w:tc>
          <w:tcPr>
            <w:tcW w:w="887" w:type="pct"/>
            <w:vAlign w:val="center"/>
          </w:tcPr>
          <w:p w14:paraId="67305437">
            <w:pPr>
              <w:pStyle w:val="116"/>
            </w:pPr>
          </w:p>
        </w:tc>
      </w:tr>
      <w:tr w14:paraId="2B262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4" w:type="pct"/>
          </w:tcPr>
          <w:p w14:paraId="2C8D7D3F">
            <w:pPr>
              <w:pStyle w:val="116"/>
            </w:pPr>
          </w:p>
        </w:tc>
        <w:tc>
          <w:tcPr>
            <w:tcW w:w="1905" w:type="pct"/>
          </w:tcPr>
          <w:p w14:paraId="08D58BE9">
            <w:pPr>
              <w:pStyle w:val="116"/>
            </w:pPr>
          </w:p>
        </w:tc>
        <w:tc>
          <w:tcPr>
            <w:tcW w:w="1334" w:type="pct"/>
          </w:tcPr>
          <w:p w14:paraId="01453150">
            <w:pPr>
              <w:pStyle w:val="116"/>
            </w:pPr>
          </w:p>
        </w:tc>
        <w:tc>
          <w:tcPr>
            <w:tcW w:w="887" w:type="pct"/>
          </w:tcPr>
          <w:p w14:paraId="6747ECBA">
            <w:pPr>
              <w:pStyle w:val="116"/>
            </w:pPr>
          </w:p>
        </w:tc>
      </w:tr>
      <w:tr w14:paraId="355B8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4" w:type="pct"/>
          </w:tcPr>
          <w:p w14:paraId="724A1D39">
            <w:pPr>
              <w:pStyle w:val="116"/>
            </w:pPr>
          </w:p>
        </w:tc>
        <w:tc>
          <w:tcPr>
            <w:tcW w:w="1905" w:type="pct"/>
          </w:tcPr>
          <w:p w14:paraId="7077B0C2">
            <w:pPr>
              <w:pStyle w:val="116"/>
            </w:pPr>
          </w:p>
        </w:tc>
        <w:tc>
          <w:tcPr>
            <w:tcW w:w="1334" w:type="pct"/>
          </w:tcPr>
          <w:p w14:paraId="5A7775F1">
            <w:pPr>
              <w:pStyle w:val="116"/>
            </w:pPr>
          </w:p>
        </w:tc>
        <w:tc>
          <w:tcPr>
            <w:tcW w:w="887" w:type="pct"/>
          </w:tcPr>
          <w:p w14:paraId="2391B121">
            <w:pPr>
              <w:pStyle w:val="116"/>
            </w:pPr>
          </w:p>
        </w:tc>
      </w:tr>
      <w:tr w14:paraId="767C0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4" w:type="pct"/>
          </w:tcPr>
          <w:p w14:paraId="37213C58">
            <w:pPr>
              <w:pStyle w:val="116"/>
            </w:pPr>
          </w:p>
        </w:tc>
        <w:tc>
          <w:tcPr>
            <w:tcW w:w="1905" w:type="pct"/>
          </w:tcPr>
          <w:p w14:paraId="14EE1291">
            <w:pPr>
              <w:pStyle w:val="116"/>
            </w:pPr>
          </w:p>
        </w:tc>
        <w:tc>
          <w:tcPr>
            <w:tcW w:w="1334" w:type="pct"/>
          </w:tcPr>
          <w:p w14:paraId="711352FA">
            <w:pPr>
              <w:pStyle w:val="116"/>
            </w:pPr>
          </w:p>
        </w:tc>
        <w:tc>
          <w:tcPr>
            <w:tcW w:w="887" w:type="pct"/>
          </w:tcPr>
          <w:p w14:paraId="473A8EB3">
            <w:pPr>
              <w:pStyle w:val="116"/>
            </w:pPr>
          </w:p>
        </w:tc>
      </w:tr>
      <w:tr w14:paraId="231EF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4" w:type="pct"/>
          </w:tcPr>
          <w:p w14:paraId="3F93D265">
            <w:pPr>
              <w:pStyle w:val="116"/>
            </w:pPr>
          </w:p>
        </w:tc>
        <w:tc>
          <w:tcPr>
            <w:tcW w:w="1905" w:type="pct"/>
          </w:tcPr>
          <w:p w14:paraId="46DE2F5F">
            <w:pPr>
              <w:pStyle w:val="116"/>
            </w:pPr>
          </w:p>
        </w:tc>
        <w:tc>
          <w:tcPr>
            <w:tcW w:w="1334" w:type="pct"/>
          </w:tcPr>
          <w:p w14:paraId="4A176F4C">
            <w:pPr>
              <w:pStyle w:val="116"/>
            </w:pPr>
          </w:p>
        </w:tc>
        <w:tc>
          <w:tcPr>
            <w:tcW w:w="887" w:type="pct"/>
          </w:tcPr>
          <w:p w14:paraId="43071CC7">
            <w:pPr>
              <w:pStyle w:val="116"/>
            </w:pPr>
          </w:p>
        </w:tc>
      </w:tr>
      <w:tr w14:paraId="201B6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4" w:type="pct"/>
          </w:tcPr>
          <w:p w14:paraId="03498CD4">
            <w:pPr>
              <w:pStyle w:val="116"/>
            </w:pPr>
          </w:p>
        </w:tc>
        <w:tc>
          <w:tcPr>
            <w:tcW w:w="1905" w:type="pct"/>
          </w:tcPr>
          <w:p w14:paraId="4A10F7D6">
            <w:pPr>
              <w:pStyle w:val="116"/>
            </w:pPr>
          </w:p>
        </w:tc>
        <w:tc>
          <w:tcPr>
            <w:tcW w:w="1334" w:type="pct"/>
          </w:tcPr>
          <w:p w14:paraId="1777912F">
            <w:pPr>
              <w:pStyle w:val="116"/>
            </w:pPr>
          </w:p>
        </w:tc>
        <w:tc>
          <w:tcPr>
            <w:tcW w:w="887" w:type="pct"/>
          </w:tcPr>
          <w:p w14:paraId="1351A623">
            <w:pPr>
              <w:pStyle w:val="116"/>
            </w:pPr>
          </w:p>
        </w:tc>
      </w:tr>
      <w:tr w14:paraId="567A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4" w:type="pct"/>
          </w:tcPr>
          <w:p w14:paraId="777555EE">
            <w:pPr>
              <w:pStyle w:val="116"/>
            </w:pPr>
          </w:p>
        </w:tc>
        <w:tc>
          <w:tcPr>
            <w:tcW w:w="1905" w:type="pct"/>
          </w:tcPr>
          <w:p w14:paraId="20BFAADB">
            <w:pPr>
              <w:pStyle w:val="116"/>
            </w:pPr>
          </w:p>
        </w:tc>
        <w:tc>
          <w:tcPr>
            <w:tcW w:w="1334" w:type="pct"/>
          </w:tcPr>
          <w:p w14:paraId="74A80C01">
            <w:pPr>
              <w:pStyle w:val="116"/>
            </w:pPr>
          </w:p>
        </w:tc>
        <w:tc>
          <w:tcPr>
            <w:tcW w:w="887" w:type="pct"/>
          </w:tcPr>
          <w:p w14:paraId="3AA157F6">
            <w:pPr>
              <w:pStyle w:val="116"/>
            </w:pPr>
          </w:p>
        </w:tc>
      </w:tr>
    </w:tbl>
    <w:p w14:paraId="35CBAB6C">
      <w:pPr>
        <w:spacing w:line="660" w:lineRule="exact"/>
        <w:rPr>
          <w:rFonts w:ascii="宋体" w:hAnsi="宋体"/>
          <w:sz w:val="24"/>
        </w:rPr>
      </w:pPr>
      <w:r>
        <w:rPr>
          <w:rFonts w:hint="eastAsia" w:ascii="宋体" w:hAnsi="宋体"/>
          <w:sz w:val="24"/>
        </w:rPr>
        <w:t>投标人：（盖章）</w:t>
      </w:r>
    </w:p>
    <w:p w14:paraId="4E0332A8">
      <w:pPr>
        <w:spacing w:line="660" w:lineRule="exact"/>
        <w:rPr>
          <w:rFonts w:ascii="宋体" w:hAnsi="宋体"/>
          <w:sz w:val="24"/>
        </w:rPr>
      </w:pPr>
      <w:r>
        <w:rPr>
          <w:rFonts w:hint="eastAsia" w:ascii="宋体" w:hAnsi="宋体"/>
          <w:sz w:val="24"/>
        </w:rPr>
        <w:t>法定代表人（委托代理人）：（签字）</w:t>
      </w:r>
    </w:p>
    <w:p w14:paraId="62E10962">
      <w:pPr>
        <w:spacing w:line="360" w:lineRule="auto"/>
        <w:ind w:firstLine="4800" w:firstLineChars="2000"/>
        <w:rPr>
          <w:rFonts w:ascii="宋体" w:hAnsi="宋体" w:cs="宋体"/>
          <w:sz w:val="24"/>
          <w:szCs w:val="21"/>
        </w:rPr>
      </w:pPr>
    </w:p>
    <w:p w14:paraId="7DA2E99D">
      <w:pPr>
        <w:spacing w:line="360" w:lineRule="auto"/>
        <w:ind w:firstLine="4800" w:firstLineChars="2000"/>
        <w:rPr>
          <w:rFonts w:ascii="宋体" w:hAnsi="宋体" w:cs="宋体"/>
          <w:sz w:val="24"/>
          <w:szCs w:val="21"/>
        </w:rPr>
      </w:pPr>
    </w:p>
    <w:p w14:paraId="00E255AF">
      <w:pPr>
        <w:spacing w:line="360" w:lineRule="auto"/>
        <w:ind w:firstLine="4800" w:firstLineChars="2000"/>
        <w:rPr>
          <w:rFonts w:ascii="宋体" w:hAnsi="宋体" w:cs="宋体"/>
          <w:sz w:val="24"/>
          <w:szCs w:val="21"/>
        </w:rPr>
      </w:pPr>
    </w:p>
    <w:p w14:paraId="3E29B16A">
      <w:pPr>
        <w:spacing w:line="360" w:lineRule="auto"/>
        <w:ind w:firstLine="4800" w:firstLineChars="2000"/>
        <w:rPr>
          <w:rFonts w:ascii="宋体" w:hAnsi="宋体" w:cs="宋体"/>
          <w:sz w:val="24"/>
          <w:szCs w:val="21"/>
        </w:rPr>
      </w:pPr>
    </w:p>
    <w:p w14:paraId="6AFF5156">
      <w:pPr>
        <w:pStyle w:val="15"/>
      </w:pPr>
    </w:p>
    <w:p w14:paraId="7E16E81F">
      <w:pPr>
        <w:pStyle w:val="15"/>
      </w:pPr>
    </w:p>
    <w:p w14:paraId="56813528">
      <w:pPr>
        <w:pStyle w:val="15"/>
      </w:pPr>
    </w:p>
    <w:p w14:paraId="47BD094D">
      <w:pPr>
        <w:pStyle w:val="118"/>
      </w:pPr>
      <w:r>
        <w:rPr>
          <w:rFonts w:hint="eastAsia"/>
        </w:rPr>
        <w:t>附件</w:t>
      </w:r>
      <w:r>
        <w:t xml:space="preserve">4 </w:t>
      </w:r>
      <w:r>
        <w:rPr>
          <w:rFonts w:hint="eastAsia"/>
        </w:rPr>
        <w:t>近三年同类项目业绩一览表</w:t>
      </w:r>
    </w:p>
    <w:p w14:paraId="1B05589E">
      <w:pPr>
        <w:spacing w:line="600" w:lineRule="exact"/>
        <w:ind w:firstLine="141"/>
        <w:jc w:val="left"/>
      </w:pPr>
      <w:r>
        <w:rPr>
          <w:rFonts w:hint="eastAsia"/>
        </w:rPr>
        <w:t>项目名称</w:t>
      </w:r>
      <w:r>
        <w:rPr>
          <w:rFonts w:hint="eastAsia" w:ascii="宋体" w:hAnsi="宋体"/>
          <w:sz w:val="24"/>
          <w:szCs w:val="24"/>
        </w:rPr>
        <w:t>：</w:t>
      </w:r>
      <w:r>
        <w:rPr>
          <w:rFonts w:ascii="宋体" w:hAnsi="宋体"/>
          <w:sz w:val="24"/>
          <w:szCs w:val="24"/>
        </w:rPr>
        <w:t>E3.Series软件</w:t>
      </w:r>
      <w:r>
        <w:rPr>
          <w:rFonts w:hint="eastAsia" w:ascii="宋体" w:hAnsi="宋体"/>
          <w:sz w:val="24"/>
          <w:szCs w:val="24"/>
        </w:rPr>
        <w:t>增购项目</w:t>
      </w:r>
      <w:r>
        <w:rPr>
          <w:rFonts w:hint="eastAsia"/>
        </w:rPr>
        <w:t xml:space="preserve">                                                             </w:t>
      </w:r>
    </w:p>
    <w:tbl>
      <w:tblPr>
        <w:tblStyle w:val="3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7"/>
        <w:gridCol w:w="2080"/>
        <w:gridCol w:w="1351"/>
        <w:gridCol w:w="847"/>
        <w:gridCol w:w="1318"/>
        <w:gridCol w:w="1021"/>
        <w:gridCol w:w="1586"/>
      </w:tblGrid>
      <w:tr w14:paraId="0B8A7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0" w:hRule="atLeast"/>
        </w:trPr>
        <w:tc>
          <w:tcPr>
            <w:tcW w:w="475" w:type="pct"/>
            <w:vAlign w:val="center"/>
          </w:tcPr>
          <w:p w14:paraId="087D2800">
            <w:pPr>
              <w:pStyle w:val="22"/>
              <w:ind w:left="422" w:hanging="422"/>
              <w:jc w:val="center"/>
              <w:rPr>
                <w:rFonts w:ascii="宋体" w:hAnsi="宋体"/>
                <w:b/>
              </w:rPr>
            </w:pPr>
            <w:r>
              <w:rPr>
                <w:rFonts w:hint="eastAsia" w:ascii="宋体" w:hAnsi="宋体"/>
                <w:b/>
              </w:rPr>
              <w:t>序号</w:t>
            </w:r>
          </w:p>
        </w:tc>
        <w:tc>
          <w:tcPr>
            <w:tcW w:w="1150" w:type="pct"/>
            <w:vAlign w:val="center"/>
          </w:tcPr>
          <w:p w14:paraId="3308C779">
            <w:pPr>
              <w:pStyle w:val="22"/>
              <w:ind w:left="422" w:hanging="422"/>
              <w:jc w:val="center"/>
              <w:rPr>
                <w:rFonts w:ascii="宋体" w:hAnsi="宋体"/>
                <w:b/>
              </w:rPr>
            </w:pPr>
            <w:r>
              <w:rPr>
                <w:rFonts w:hint="eastAsia" w:ascii="宋体" w:hAnsi="宋体"/>
                <w:b/>
              </w:rPr>
              <w:t>采购单位</w:t>
            </w:r>
          </w:p>
        </w:tc>
        <w:tc>
          <w:tcPr>
            <w:tcW w:w="748" w:type="pct"/>
            <w:vAlign w:val="center"/>
          </w:tcPr>
          <w:p w14:paraId="230C77FC">
            <w:pPr>
              <w:pStyle w:val="22"/>
              <w:ind w:left="422" w:hanging="422"/>
              <w:jc w:val="center"/>
              <w:rPr>
                <w:rFonts w:ascii="宋体" w:hAnsi="宋体"/>
                <w:b/>
              </w:rPr>
            </w:pPr>
            <w:r>
              <w:rPr>
                <w:rFonts w:hint="eastAsia" w:ascii="宋体" w:hAnsi="宋体"/>
                <w:b/>
              </w:rPr>
              <w:t>项目名称</w:t>
            </w:r>
          </w:p>
          <w:p w14:paraId="1EB35FC0">
            <w:pPr>
              <w:pStyle w:val="22"/>
              <w:ind w:left="422" w:hanging="422"/>
              <w:jc w:val="center"/>
              <w:rPr>
                <w:rFonts w:ascii="宋体" w:hAnsi="宋体"/>
                <w:b/>
              </w:rPr>
            </w:pPr>
            <w:r>
              <w:rPr>
                <w:rFonts w:hint="eastAsia" w:ascii="宋体" w:hAnsi="宋体"/>
                <w:b/>
              </w:rPr>
              <w:t>（万元）</w:t>
            </w:r>
          </w:p>
        </w:tc>
        <w:tc>
          <w:tcPr>
            <w:tcW w:w="456" w:type="pct"/>
            <w:vAlign w:val="center"/>
          </w:tcPr>
          <w:p w14:paraId="46186287">
            <w:pPr>
              <w:pStyle w:val="22"/>
              <w:ind w:left="422" w:hanging="422"/>
              <w:jc w:val="center"/>
              <w:rPr>
                <w:rFonts w:ascii="宋体" w:hAnsi="宋体"/>
                <w:b/>
              </w:rPr>
            </w:pPr>
            <w:r>
              <w:rPr>
                <w:rFonts w:hint="eastAsia" w:ascii="宋体" w:hAnsi="宋体"/>
                <w:b/>
              </w:rPr>
              <w:t>数量</w:t>
            </w:r>
          </w:p>
        </w:tc>
        <w:tc>
          <w:tcPr>
            <w:tcW w:w="729" w:type="pct"/>
            <w:vAlign w:val="center"/>
          </w:tcPr>
          <w:p w14:paraId="1C5CDCC8">
            <w:pPr>
              <w:pStyle w:val="22"/>
              <w:ind w:left="422" w:hanging="422"/>
              <w:jc w:val="center"/>
              <w:rPr>
                <w:rFonts w:ascii="宋体" w:hAnsi="宋体"/>
                <w:b/>
              </w:rPr>
            </w:pPr>
            <w:r>
              <w:rPr>
                <w:rFonts w:hint="eastAsia" w:ascii="宋体" w:hAnsi="宋体"/>
                <w:b/>
              </w:rPr>
              <w:t>合同金额</w:t>
            </w:r>
          </w:p>
        </w:tc>
        <w:tc>
          <w:tcPr>
            <w:tcW w:w="565" w:type="pct"/>
            <w:vAlign w:val="center"/>
          </w:tcPr>
          <w:p w14:paraId="5A4F7082">
            <w:pPr>
              <w:pStyle w:val="22"/>
              <w:ind w:left="422" w:hanging="422"/>
              <w:jc w:val="center"/>
              <w:rPr>
                <w:rFonts w:ascii="宋体" w:hAnsi="宋体"/>
                <w:b/>
              </w:rPr>
            </w:pPr>
            <w:r>
              <w:rPr>
                <w:rFonts w:hint="eastAsia" w:ascii="宋体" w:hAnsi="宋体"/>
                <w:b/>
              </w:rPr>
              <w:t>合同签订时间</w:t>
            </w:r>
          </w:p>
        </w:tc>
        <w:tc>
          <w:tcPr>
            <w:tcW w:w="878" w:type="pct"/>
            <w:vAlign w:val="center"/>
          </w:tcPr>
          <w:p w14:paraId="69648692">
            <w:pPr>
              <w:pStyle w:val="22"/>
              <w:ind w:left="422" w:hanging="422"/>
              <w:jc w:val="center"/>
              <w:rPr>
                <w:rFonts w:ascii="宋体" w:hAnsi="宋体"/>
                <w:b/>
              </w:rPr>
            </w:pPr>
            <w:r>
              <w:rPr>
                <w:rFonts w:hint="eastAsia" w:ascii="宋体" w:hAnsi="宋体"/>
                <w:b/>
              </w:rPr>
              <w:t>联系人及</w:t>
            </w:r>
          </w:p>
          <w:p w14:paraId="76393525">
            <w:pPr>
              <w:pStyle w:val="22"/>
              <w:ind w:left="422" w:hanging="422"/>
              <w:jc w:val="center"/>
              <w:rPr>
                <w:rFonts w:ascii="宋体" w:hAnsi="宋体"/>
                <w:b/>
              </w:rPr>
            </w:pPr>
            <w:r>
              <w:rPr>
                <w:rFonts w:hint="eastAsia" w:ascii="宋体" w:hAnsi="宋体"/>
                <w:b/>
              </w:rPr>
              <w:t>联系电话</w:t>
            </w:r>
          </w:p>
        </w:tc>
      </w:tr>
      <w:tr w14:paraId="4C0E7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5" w:type="pct"/>
          </w:tcPr>
          <w:p w14:paraId="29CEBA2D">
            <w:pPr>
              <w:pStyle w:val="22"/>
              <w:ind w:left="422" w:hanging="422"/>
              <w:rPr>
                <w:rFonts w:ascii="宋体" w:hAnsi="宋体"/>
                <w:b/>
              </w:rPr>
            </w:pPr>
          </w:p>
        </w:tc>
        <w:tc>
          <w:tcPr>
            <w:tcW w:w="1150" w:type="pct"/>
          </w:tcPr>
          <w:p w14:paraId="0F1E303D">
            <w:pPr>
              <w:pStyle w:val="22"/>
              <w:ind w:left="422" w:hanging="422"/>
              <w:rPr>
                <w:rFonts w:ascii="宋体" w:hAnsi="宋体"/>
                <w:b/>
              </w:rPr>
            </w:pPr>
          </w:p>
        </w:tc>
        <w:tc>
          <w:tcPr>
            <w:tcW w:w="748" w:type="pct"/>
          </w:tcPr>
          <w:p w14:paraId="3BFB3D6E">
            <w:pPr>
              <w:pStyle w:val="22"/>
              <w:ind w:left="422" w:hanging="422"/>
              <w:rPr>
                <w:rFonts w:ascii="宋体" w:hAnsi="宋体"/>
                <w:b/>
              </w:rPr>
            </w:pPr>
          </w:p>
        </w:tc>
        <w:tc>
          <w:tcPr>
            <w:tcW w:w="456" w:type="pct"/>
          </w:tcPr>
          <w:p w14:paraId="196B0E8E">
            <w:pPr>
              <w:pStyle w:val="22"/>
              <w:ind w:left="422" w:hanging="422"/>
              <w:rPr>
                <w:rFonts w:ascii="宋体" w:hAnsi="宋体"/>
                <w:b/>
              </w:rPr>
            </w:pPr>
          </w:p>
        </w:tc>
        <w:tc>
          <w:tcPr>
            <w:tcW w:w="729" w:type="pct"/>
          </w:tcPr>
          <w:p w14:paraId="6DA90C5A">
            <w:pPr>
              <w:pStyle w:val="22"/>
              <w:ind w:left="422" w:hanging="422"/>
              <w:rPr>
                <w:rFonts w:ascii="宋体" w:hAnsi="宋体"/>
                <w:b/>
              </w:rPr>
            </w:pPr>
          </w:p>
        </w:tc>
        <w:tc>
          <w:tcPr>
            <w:tcW w:w="565" w:type="pct"/>
          </w:tcPr>
          <w:p w14:paraId="3AEA52E4">
            <w:pPr>
              <w:pStyle w:val="22"/>
              <w:ind w:left="422" w:hanging="422"/>
              <w:rPr>
                <w:rFonts w:ascii="宋体" w:hAnsi="宋体"/>
                <w:b/>
              </w:rPr>
            </w:pPr>
          </w:p>
        </w:tc>
        <w:tc>
          <w:tcPr>
            <w:tcW w:w="878" w:type="pct"/>
          </w:tcPr>
          <w:p w14:paraId="6B1CEA5D">
            <w:pPr>
              <w:pStyle w:val="22"/>
              <w:ind w:left="422" w:hanging="422"/>
              <w:rPr>
                <w:rFonts w:ascii="宋体" w:hAnsi="宋体"/>
                <w:b/>
              </w:rPr>
            </w:pPr>
          </w:p>
        </w:tc>
      </w:tr>
      <w:tr w14:paraId="3A901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5" w:type="pct"/>
          </w:tcPr>
          <w:p w14:paraId="034B9583">
            <w:pPr>
              <w:pStyle w:val="22"/>
              <w:ind w:left="422" w:hanging="422"/>
              <w:rPr>
                <w:rFonts w:ascii="宋体" w:hAnsi="宋体"/>
                <w:b/>
              </w:rPr>
            </w:pPr>
          </w:p>
        </w:tc>
        <w:tc>
          <w:tcPr>
            <w:tcW w:w="1150" w:type="pct"/>
          </w:tcPr>
          <w:p w14:paraId="49783CB0">
            <w:pPr>
              <w:pStyle w:val="22"/>
              <w:ind w:left="422" w:hanging="422"/>
              <w:rPr>
                <w:rFonts w:ascii="宋体" w:hAnsi="宋体"/>
                <w:b/>
              </w:rPr>
            </w:pPr>
          </w:p>
        </w:tc>
        <w:tc>
          <w:tcPr>
            <w:tcW w:w="748" w:type="pct"/>
          </w:tcPr>
          <w:p w14:paraId="773A7A96">
            <w:pPr>
              <w:pStyle w:val="22"/>
              <w:ind w:left="422" w:hanging="422"/>
              <w:rPr>
                <w:rFonts w:ascii="宋体" w:hAnsi="宋体"/>
                <w:b/>
              </w:rPr>
            </w:pPr>
          </w:p>
        </w:tc>
        <w:tc>
          <w:tcPr>
            <w:tcW w:w="456" w:type="pct"/>
          </w:tcPr>
          <w:p w14:paraId="5C80897F">
            <w:pPr>
              <w:pStyle w:val="22"/>
              <w:ind w:left="422" w:hanging="422"/>
              <w:rPr>
                <w:rFonts w:ascii="宋体" w:hAnsi="宋体"/>
                <w:b/>
              </w:rPr>
            </w:pPr>
          </w:p>
        </w:tc>
        <w:tc>
          <w:tcPr>
            <w:tcW w:w="729" w:type="pct"/>
          </w:tcPr>
          <w:p w14:paraId="408C020C">
            <w:pPr>
              <w:pStyle w:val="22"/>
              <w:ind w:left="422" w:hanging="422"/>
              <w:rPr>
                <w:rFonts w:ascii="宋体" w:hAnsi="宋体"/>
                <w:b/>
              </w:rPr>
            </w:pPr>
          </w:p>
        </w:tc>
        <w:tc>
          <w:tcPr>
            <w:tcW w:w="565" w:type="pct"/>
          </w:tcPr>
          <w:p w14:paraId="0F1EBD45">
            <w:pPr>
              <w:pStyle w:val="22"/>
              <w:ind w:left="422" w:hanging="422"/>
              <w:rPr>
                <w:rFonts w:ascii="宋体" w:hAnsi="宋体"/>
                <w:b/>
              </w:rPr>
            </w:pPr>
          </w:p>
        </w:tc>
        <w:tc>
          <w:tcPr>
            <w:tcW w:w="878" w:type="pct"/>
          </w:tcPr>
          <w:p w14:paraId="59E02014">
            <w:pPr>
              <w:pStyle w:val="22"/>
              <w:ind w:left="422" w:hanging="422"/>
              <w:rPr>
                <w:rFonts w:ascii="宋体" w:hAnsi="宋体"/>
                <w:b/>
              </w:rPr>
            </w:pPr>
          </w:p>
        </w:tc>
      </w:tr>
      <w:tr w14:paraId="70FC8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5" w:type="pct"/>
          </w:tcPr>
          <w:p w14:paraId="7A3683A8">
            <w:pPr>
              <w:pStyle w:val="22"/>
              <w:ind w:left="422" w:hanging="422"/>
              <w:rPr>
                <w:rFonts w:ascii="宋体" w:hAnsi="宋体"/>
                <w:b/>
              </w:rPr>
            </w:pPr>
          </w:p>
        </w:tc>
        <w:tc>
          <w:tcPr>
            <w:tcW w:w="1150" w:type="pct"/>
          </w:tcPr>
          <w:p w14:paraId="252DB0FA">
            <w:pPr>
              <w:pStyle w:val="22"/>
              <w:ind w:left="422" w:hanging="422"/>
              <w:rPr>
                <w:rFonts w:ascii="宋体" w:hAnsi="宋体"/>
                <w:b/>
              </w:rPr>
            </w:pPr>
          </w:p>
        </w:tc>
        <w:tc>
          <w:tcPr>
            <w:tcW w:w="748" w:type="pct"/>
          </w:tcPr>
          <w:p w14:paraId="680AADEA">
            <w:pPr>
              <w:pStyle w:val="22"/>
              <w:ind w:left="422" w:hanging="422"/>
              <w:rPr>
                <w:rFonts w:ascii="宋体" w:hAnsi="宋体"/>
                <w:b/>
              </w:rPr>
            </w:pPr>
          </w:p>
        </w:tc>
        <w:tc>
          <w:tcPr>
            <w:tcW w:w="456" w:type="pct"/>
          </w:tcPr>
          <w:p w14:paraId="719C9D65">
            <w:pPr>
              <w:pStyle w:val="22"/>
              <w:ind w:left="422" w:hanging="422"/>
              <w:rPr>
                <w:rFonts w:ascii="宋体" w:hAnsi="宋体"/>
                <w:b/>
              </w:rPr>
            </w:pPr>
          </w:p>
        </w:tc>
        <w:tc>
          <w:tcPr>
            <w:tcW w:w="729" w:type="pct"/>
          </w:tcPr>
          <w:p w14:paraId="268C8D51">
            <w:pPr>
              <w:pStyle w:val="22"/>
              <w:ind w:left="422" w:hanging="422"/>
              <w:rPr>
                <w:rFonts w:ascii="宋体" w:hAnsi="宋体"/>
                <w:b/>
              </w:rPr>
            </w:pPr>
          </w:p>
        </w:tc>
        <w:tc>
          <w:tcPr>
            <w:tcW w:w="565" w:type="pct"/>
          </w:tcPr>
          <w:p w14:paraId="220C16E3">
            <w:pPr>
              <w:pStyle w:val="22"/>
              <w:ind w:left="422" w:hanging="422"/>
              <w:rPr>
                <w:rFonts w:ascii="宋体" w:hAnsi="宋体"/>
                <w:b/>
              </w:rPr>
            </w:pPr>
          </w:p>
        </w:tc>
        <w:tc>
          <w:tcPr>
            <w:tcW w:w="878" w:type="pct"/>
          </w:tcPr>
          <w:p w14:paraId="74BF737D">
            <w:pPr>
              <w:pStyle w:val="22"/>
              <w:ind w:left="422" w:hanging="422"/>
              <w:rPr>
                <w:rFonts w:ascii="宋体" w:hAnsi="宋体"/>
                <w:b/>
              </w:rPr>
            </w:pPr>
          </w:p>
        </w:tc>
      </w:tr>
      <w:tr w14:paraId="3A7D6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5" w:type="pct"/>
          </w:tcPr>
          <w:p w14:paraId="69C4C0B6">
            <w:pPr>
              <w:pStyle w:val="22"/>
              <w:ind w:left="422" w:hanging="422"/>
              <w:rPr>
                <w:rFonts w:ascii="宋体" w:hAnsi="宋体"/>
                <w:b/>
              </w:rPr>
            </w:pPr>
          </w:p>
        </w:tc>
        <w:tc>
          <w:tcPr>
            <w:tcW w:w="1150" w:type="pct"/>
          </w:tcPr>
          <w:p w14:paraId="5682EB6F">
            <w:pPr>
              <w:pStyle w:val="22"/>
              <w:ind w:left="422" w:hanging="422"/>
              <w:rPr>
                <w:rFonts w:ascii="宋体" w:hAnsi="宋体"/>
                <w:b/>
              </w:rPr>
            </w:pPr>
          </w:p>
        </w:tc>
        <w:tc>
          <w:tcPr>
            <w:tcW w:w="748" w:type="pct"/>
          </w:tcPr>
          <w:p w14:paraId="4A686BBD">
            <w:pPr>
              <w:pStyle w:val="22"/>
              <w:ind w:left="422" w:hanging="422"/>
              <w:rPr>
                <w:rFonts w:ascii="宋体" w:hAnsi="宋体"/>
                <w:b/>
              </w:rPr>
            </w:pPr>
          </w:p>
        </w:tc>
        <w:tc>
          <w:tcPr>
            <w:tcW w:w="456" w:type="pct"/>
          </w:tcPr>
          <w:p w14:paraId="69E5BC76">
            <w:pPr>
              <w:pStyle w:val="22"/>
              <w:ind w:left="422" w:hanging="422"/>
              <w:rPr>
                <w:rFonts w:ascii="宋体" w:hAnsi="宋体"/>
                <w:b/>
              </w:rPr>
            </w:pPr>
          </w:p>
        </w:tc>
        <w:tc>
          <w:tcPr>
            <w:tcW w:w="729" w:type="pct"/>
          </w:tcPr>
          <w:p w14:paraId="12515A9A">
            <w:pPr>
              <w:pStyle w:val="22"/>
              <w:ind w:left="422" w:hanging="422"/>
              <w:rPr>
                <w:rFonts w:ascii="宋体" w:hAnsi="宋体"/>
                <w:b/>
              </w:rPr>
            </w:pPr>
          </w:p>
        </w:tc>
        <w:tc>
          <w:tcPr>
            <w:tcW w:w="565" w:type="pct"/>
          </w:tcPr>
          <w:p w14:paraId="6B1986B7">
            <w:pPr>
              <w:pStyle w:val="22"/>
              <w:ind w:left="422" w:hanging="422"/>
              <w:rPr>
                <w:rFonts w:ascii="宋体" w:hAnsi="宋体"/>
                <w:b/>
              </w:rPr>
            </w:pPr>
          </w:p>
        </w:tc>
        <w:tc>
          <w:tcPr>
            <w:tcW w:w="878" w:type="pct"/>
          </w:tcPr>
          <w:p w14:paraId="5D3A2B35">
            <w:pPr>
              <w:pStyle w:val="22"/>
              <w:ind w:left="422" w:hanging="422"/>
              <w:rPr>
                <w:rFonts w:ascii="宋体" w:hAnsi="宋体"/>
                <w:b/>
              </w:rPr>
            </w:pPr>
          </w:p>
        </w:tc>
      </w:tr>
      <w:tr w14:paraId="634D0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5" w:type="pct"/>
          </w:tcPr>
          <w:p w14:paraId="66888F10">
            <w:pPr>
              <w:pStyle w:val="22"/>
              <w:ind w:left="422" w:hanging="422"/>
              <w:rPr>
                <w:rFonts w:ascii="宋体" w:hAnsi="宋体"/>
                <w:b/>
              </w:rPr>
            </w:pPr>
          </w:p>
        </w:tc>
        <w:tc>
          <w:tcPr>
            <w:tcW w:w="1150" w:type="pct"/>
          </w:tcPr>
          <w:p w14:paraId="3715DC5A">
            <w:pPr>
              <w:pStyle w:val="22"/>
              <w:ind w:left="422" w:hanging="422"/>
              <w:rPr>
                <w:rFonts w:ascii="宋体" w:hAnsi="宋体"/>
                <w:b/>
              </w:rPr>
            </w:pPr>
          </w:p>
        </w:tc>
        <w:tc>
          <w:tcPr>
            <w:tcW w:w="748" w:type="pct"/>
          </w:tcPr>
          <w:p w14:paraId="1A85F4DE">
            <w:pPr>
              <w:pStyle w:val="22"/>
              <w:ind w:left="422" w:hanging="422"/>
              <w:rPr>
                <w:rFonts w:ascii="宋体" w:hAnsi="宋体"/>
                <w:b/>
              </w:rPr>
            </w:pPr>
          </w:p>
        </w:tc>
        <w:tc>
          <w:tcPr>
            <w:tcW w:w="456" w:type="pct"/>
          </w:tcPr>
          <w:p w14:paraId="34F5B5C5">
            <w:pPr>
              <w:pStyle w:val="22"/>
              <w:ind w:left="422" w:hanging="422"/>
              <w:rPr>
                <w:rFonts w:ascii="宋体" w:hAnsi="宋体"/>
                <w:b/>
              </w:rPr>
            </w:pPr>
          </w:p>
        </w:tc>
        <w:tc>
          <w:tcPr>
            <w:tcW w:w="729" w:type="pct"/>
          </w:tcPr>
          <w:p w14:paraId="731E16A5">
            <w:pPr>
              <w:pStyle w:val="22"/>
              <w:ind w:left="422" w:hanging="422"/>
              <w:rPr>
                <w:rFonts w:ascii="宋体" w:hAnsi="宋体"/>
                <w:b/>
              </w:rPr>
            </w:pPr>
          </w:p>
        </w:tc>
        <w:tc>
          <w:tcPr>
            <w:tcW w:w="565" w:type="pct"/>
          </w:tcPr>
          <w:p w14:paraId="75DF3180">
            <w:pPr>
              <w:pStyle w:val="22"/>
              <w:ind w:left="422" w:hanging="422"/>
              <w:rPr>
                <w:rFonts w:ascii="宋体" w:hAnsi="宋体"/>
                <w:b/>
              </w:rPr>
            </w:pPr>
          </w:p>
        </w:tc>
        <w:tc>
          <w:tcPr>
            <w:tcW w:w="878" w:type="pct"/>
          </w:tcPr>
          <w:p w14:paraId="3D9B108A">
            <w:pPr>
              <w:pStyle w:val="22"/>
              <w:ind w:left="422" w:hanging="422"/>
              <w:rPr>
                <w:rFonts w:ascii="宋体" w:hAnsi="宋体"/>
                <w:b/>
              </w:rPr>
            </w:pPr>
          </w:p>
        </w:tc>
      </w:tr>
      <w:tr w14:paraId="39EA8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5" w:type="pct"/>
          </w:tcPr>
          <w:p w14:paraId="65D78B18">
            <w:pPr>
              <w:pStyle w:val="22"/>
              <w:ind w:left="422" w:hanging="422"/>
              <w:rPr>
                <w:rFonts w:ascii="宋体" w:hAnsi="宋体"/>
                <w:b/>
              </w:rPr>
            </w:pPr>
          </w:p>
        </w:tc>
        <w:tc>
          <w:tcPr>
            <w:tcW w:w="1150" w:type="pct"/>
          </w:tcPr>
          <w:p w14:paraId="780BA437">
            <w:pPr>
              <w:pStyle w:val="22"/>
              <w:ind w:left="422" w:hanging="422"/>
              <w:rPr>
                <w:rFonts w:ascii="宋体" w:hAnsi="宋体"/>
                <w:b/>
              </w:rPr>
            </w:pPr>
          </w:p>
        </w:tc>
        <w:tc>
          <w:tcPr>
            <w:tcW w:w="748" w:type="pct"/>
          </w:tcPr>
          <w:p w14:paraId="55FFC332">
            <w:pPr>
              <w:pStyle w:val="22"/>
              <w:ind w:left="422" w:hanging="422"/>
              <w:rPr>
                <w:rFonts w:ascii="宋体" w:hAnsi="宋体"/>
                <w:b/>
              </w:rPr>
            </w:pPr>
          </w:p>
        </w:tc>
        <w:tc>
          <w:tcPr>
            <w:tcW w:w="456" w:type="pct"/>
          </w:tcPr>
          <w:p w14:paraId="31E47E01">
            <w:pPr>
              <w:pStyle w:val="22"/>
              <w:ind w:left="422" w:hanging="422"/>
              <w:rPr>
                <w:rFonts w:ascii="宋体" w:hAnsi="宋体"/>
                <w:b/>
              </w:rPr>
            </w:pPr>
          </w:p>
        </w:tc>
        <w:tc>
          <w:tcPr>
            <w:tcW w:w="729" w:type="pct"/>
          </w:tcPr>
          <w:p w14:paraId="50B209A6">
            <w:pPr>
              <w:pStyle w:val="22"/>
              <w:ind w:left="422" w:hanging="422"/>
              <w:rPr>
                <w:rFonts w:ascii="宋体" w:hAnsi="宋体"/>
                <w:b/>
              </w:rPr>
            </w:pPr>
          </w:p>
        </w:tc>
        <w:tc>
          <w:tcPr>
            <w:tcW w:w="565" w:type="pct"/>
          </w:tcPr>
          <w:p w14:paraId="23ACB033">
            <w:pPr>
              <w:pStyle w:val="22"/>
              <w:ind w:left="422" w:hanging="422"/>
              <w:rPr>
                <w:rFonts w:ascii="宋体" w:hAnsi="宋体"/>
                <w:b/>
              </w:rPr>
            </w:pPr>
          </w:p>
        </w:tc>
        <w:tc>
          <w:tcPr>
            <w:tcW w:w="878" w:type="pct"/>
          </w:tcPr>
          <w:p w14:paraId="3E5BEAA0">
            <w:pPr>
              <w:pStyle w:val="22"/>
              <w:ind w:left="422" w:hanging="422"/>
              <w:rPr>
                <w:rFonts w:ascii="宋体" w:hAnsi="宋体"/>
                <w:b/>
              </w:rPr>
            </w:pPr>
          </w:p>
        </w:tc>
      </w:tr>
      <w:tr w14:paraId="2ABA2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5" w:type="pct"/>
          </w:tcPr>
          <w:p w14:paraId="66C39FFD">
            <w:pPr>
              <w:pStyle w:val="22"/>
              <w:ind w:left="422" w:hanging="422"/>
              <w:rPr>
                <w:rFonts w:ascii="宋体" w:hAnsi="宋体"/>
                <w:b/>
              </w:rPr>
            </w:pPr>
          </w:p>
        </w:tc>
        <w:tc>
          <w:tcPr>
            <w:tcW w:w="1150" w:type="pct"/>
          </w:tcPr>
          <w:p w14:paraId="1A9C773A">
            <w:pPr>
              <w:pStyle w:val="22"/>
              <w:ind w:left="422" w:hanging="422"/>
              <w:rPr>
                <w:rFonts w:ascii="宋体" w:hAnsi="宋体"/>
                <w:b/>
              </w:rPr>
            </w:pPr>
          </w:p>
        </w:tc>
        <w:tc>
          <w:tcPr>
            <w:tcW w:w="748" w:type="pct"/>
          </w:tcPr>
          <w:p w14:paraId="1AEF645B">
            <w:pPr>
              <w:pStyle w:val="22"/>
              <w:ind w:left="422" w:hanging="422"/>
              <w:rPr>
                <w:rFonts w:ascii="宋体" w:hAnsi="宋体"/>
                <w:b/>
              </w:rPr>
            </w:pPr>
          </w:p>
        </w:tc>
        <w:tc>
          <w:tcPr>
            <w:tcW w:w="456" w:type="pct"/>
          </w:tcPr>
          <w:p w14:paraId="6ABBD7DF">
            <w:pPr>
              <w:pStyle w:val="22"/>
              <w:ind w:left="422" w:hanging="422"/>
              <w:rPr>
                <w:rFonts w:ascii="宋体" w:hAnsi="宋体"/>
                <w:b/>
              </w:rPr>
            </w:pPr>
          </w:p>
        </w:tc>
        <w:tc>
          <w:tcPr>
            <w:tcW w:w="729" w:type="pct"/>
          </w:tcPr>
          <w:p w14:paraId="3EA1EC02">
            <w:pPr>
              <w:pStyle w:val="22"/>
              <w:ind w:left="422" w:hanging="422"/>
              <w:rPr>
                <w:rFonts w:ascii="宋体" w:hAnsi="宋体"/>
                <w:b/>
              </w:rPr>
            </w:pPr>
          </w:p>
        </w:tc>
        <w:tc>
          <w:tcPr>
            <w:tcW w:w="565" w:type="pct"/>
          </w:tcPr>
          <w:p w14:paraId="7B387DB5">
            <w:pPr>
              <w:pStyle w:val="22"/>
              <w:ind w:left="422" w:hanging="422"/>
              <w:rPr>
                <w:rFonts w:ascii="宋体" w:hAnsi="宋体"/>
                <w:b/>
              </w:rPr>
            </w:pPr>
          </w:p>
        </w:tc>
        <w:tc>
          <w:tcPr>
            <w:tcW w:w="878" w:type="pct"/>
          </w:tcPr>
          <w:p w14:paraId="5D315E6F">
            <w:pPr>
              <w:pStyle w:val="22"/>
              <w:ind w:left="422" w:hanging="422"/>
              <w:rPr>
                <w:rFonts w:ascii="宋体" w:hAnsi="宋体"/>
                <w:b/>
              </w:rPr>
            </w:pPr>
          </w:p>
        </w:tc>
      </w:tr>
      <w:tr w14:paraId="5799E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5" w:type="pct"/>
          </w:tcPr>
          <w:p w14:paraId="25EE8566">
            <w:pPr>
              <w:pStyle w:val="22"/>
              <w:ind w:left="422" w:hanging="422"/>
              <w:rPr>
                <w:rFonts w:ascii="宋体" w:hAnsi="宋体"/>
                <w:b/>
              </w:rPr>
            </w:pPr>
          </w:p>
        </w:tc>
        <w:tc>
          <w:tcPr>
            <w:tcW w:w="1150" w:type="pct"/>
          </w:tcPr>
          <w:p w14:paraId="1C0A18A2">
            <w:pPr>
              <w:pStyle w:val="22"/>
              <w:ind w:left="422" w:hanging="422"/>
              <w:rPr>
                <w:rFonts w:ascii="宋体" w:hAnsi="宋体"/>
                <w:b/>
              </w:rPr>
            </w:pPr>
          </w:p>
        </w:tc>
        <w:tc>
          <w:tcPr>
            <w:tcW w:w="748" w:type="pct"/>
          </w:tcPr>
          <w:p w14:paraId="676C34C6">
            <w:pPr>
              <w:pStyle w:val="22"/>
              <w:ind w:left="422" w:hanging="422"/>
              <w:rPr>
                <w:rFonts w:ascii="宋体" w:hAnsi="宋体"/>
                <w:b/>
              </w:rPr>
            </w:pPr>
          </w:p>
        </w:tc>
        <w:tc>
          <w:tcPr>
            <w:tcW w:w="456" w:type="pct"/>
          </w:tcPr>
          <w:p w14:paraId="102EC135">
            <w:pPr>
              <w:pStyle w:val="22"/>
              <w:ind w:left="422" w:hanging="422"/>
              <w:rPr>
                <w:rFonts w:ascii="宋体" w:hAnsi="宋体"/>
                <w:b/>
              </w:rPr>
            </w:pPr>
          </w:p>
        </w:tc>
        <w:tc>
          <w:tcPr>
            <w:tcW w:w="729" w:type="pct"/>
          </w:tcPr>
          <w:p w14:paraId="38B8B550">
            <w:pPr>
              <w:pStyle w:val="22"/>
              <w:ind w:left="422" w:hanging="422"/>
              <w:rPr>
                <w:rFonts w:ascii="宋体" w:hAnsi="宋体"/>
                <w:b/>
              </w:rPr>
            </w:pPr>
          </w:p>
        </w:tc>
        <w:tc>
          <w:tcPr>
            <w:tcW w:w="565" w:type="pct"/>
          </w:tcPr>
          <w:p w14:paraId="2CFF9750">
            <w:pPr>
              <w:pStyle w:val="22"/>
              <w:ind w:left="422" w:hanging="422"/>
              <w:rPr>
                <w:rFonts w:ascii="宋体" w:hAnsi="宋体"/>
                <w:b/>
              </w:rPr>
            </w:pPr>
          </w:p>
        </w:tc>
        <w:tc>
          <w:tcPr>
            <w:tcW w:w="878" w:type="pct"/>
          </w:tcPr>
          <w:p w14:paraId="596EED60">
            <w:pPr>
              <w:pStyle w:val="22"/>
              <w:ind w:left="422" w:hanging="422"/>
              <w:rPr>
                <w:rFonts w:ascii="宋体" w:hAnsi="宋体"/>
                <w:b/>
              </w:rPr>
            </w:pPr>
          </w:p>
        </w:tc>
      </w:tr>
      <w:tr w14:paraId="2BF4F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5" w:type="pct"/>
          </w:tcPr>
          <w:p w14:paraId="42D76A0D">
            <w:pPr>
              <w:pStyle w:val="22"/>
              <w:ind w:left="422" w:hanging="422"/>
              <w:rPr>
                <w:rFonts w:ascii="宋体" w:hAnsi="宋体"/>
                <w:b/>
              </w:rPr>
            </w:pPr>
          </w:p>
        </w:tc>
        <w:tc>
          <w:tcPr>
            <w:tcW w:w="1150" w:type="pct"/>
          </w:tcPr>
          <w:p w14:paraId="6D29BD5C">
            <w:pPr>
              <w:pStyle w:val="22"/>
              <w:ind w:left="422" w:hanging="422"/>
              <w:rPr>
                <w:rFonts w:ascii="宋体" w:hAnsi="宋体"/>
                <w:b/>
              </w:rPr>
            </w:pPr>
          </w:p>
        </w:tc>
        <w:tc>
          <w:tcPr>
            <w:tcW w:w="748" w:type="pct"/>
          </w:tcPr>
          <w:p w14:paraId="3944A33F">
            <w:pPr>
              <w:pStyle w:val="22"/>
              <w:ind w:left="422" w:hanging="422"/>
              <w:rPr>
                <w:rFonts w:ascii="宋体" w:hAnsi="宋体"/>
                <w:b/>
              </w:rPr>
            </w:pPr>
          </w:p>
        </w:tc>
        <w:tc>
          <w:tcPr>
            <w:tcW w:w="456" w:type="pct"/>
          </w:tcPr>
          <w:p w14:paraId="7A7AE777">
            <w:pPr>
              <w:pStyle w:val="22"/>
              <w:ind w:left="422" w:hanging="422"/>
              <w:rPr>
                <w:rFonts w:ascii="宋体" w:hAnsi="宋体"/>
                <w:b/>
              </w:rPr>
            </w:pPr>
          </w:p>
        </w:tc>
        <w:tc>
          <w:tcPr>
            <w:tcW w:w="729" w:type="pct"/>
          </w:tcPr>
          <w:p w14:paraId="34F35A00">
            <w:pPr>
              <w:pStyle w:val="22"/>
              <w:ind w:left="422" w:hanging="422"/>
              <w:rPr>
                <w:rFonts w:ascii="宋体" w:hAnsi="宋体"/>
                <w:b/>
              </w:rPr>
            </w:pPr>
          </w:p>
        </w:tc>
        <w:tc>
          <w:tcPr>
            <w:tcW w:w="565" w:type="pct"/>
          </w:tcPr>
          <w:p w14:paraId="154A14D0">
            <w:pPr>
              <w:pStyle w:val="22"/>
              <w:ind w:left="422" w:hanging="422"/>
              <w:rPr>
                <w:rFonts w:ascii="宋体" w:hAnsi="宋体"/>
                <w:b/>
              </w:rPr>
            </w:pPr>
          </w:p>
        </w:tc>
        <w:tc>
          <w:tcPr>
            <w:tcW w:w="878" w:type="pct"/>
          </w:tcPr>
          <w:p w14:paraId="6EC33697">
            <w:pPr>
              <w:pStyle w:val="22"/>
              <w:ind w:left="422" w:hanging="422"/>
              <w:rPr>
                <w:rFonts w:ascii="宋体" w:hAnsi="宋体"/>
                <w:b/>
              </w:rPr>
            </w:pPr>
          </w:p>
        </w:tc>
      </w:tr>
      <w:tr w14:paraId="2A949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5" w:type="pct"/>
          </w:tcPr>
          <w:p w14:paraId="0A318957">
            <w:pPr>
              <w:pStyle w:val="22"/>
              <w:ind w:left="422" w:hanging="422"/>
              <w:rPr>
                <w:rFonts w:ascii="宋体" w:hAnsi="宋体"/>
                <w:b/>
              </w:rPr>
            </w:pPr>
          </w:p>
        </w:tc>
        <w:tc>
          <w:tcPr>
            <w:tcW w:w="1150" w:type="pct"/>
          </w:tcPr>
          <w:p w14:paraId="7BE4555D">
            <w:pPr>
              <w:pStyle w:val="22"/>
              <w:ind w:left="422" w:hanging="422"/>
              <w:rPr>
                <w:rFonts w:ascii="宋体" w:hAnsi="宋体"/>
                <w:b/>
              </w:rPr>
            </w:pPr>
          </w:p>
        </w:tc>
        <w:tc>
          <w:tcPr>
            <w:tcW w:w="748" w:type="pct"/>
          </w:tcPr>
          <w:p w14:paraId="2FA95181">
            <w:pPr>
              <w:pStyle w:val="22"/>
              <w:ind w:left="422" w:hanging="422"/>
              <w:rPr>
                <w:rFonts w:ascii="宋体" w:hAnsi="宋体"/>
                <w:b/>
              </w:rPr>
            </w:pPr>
          </w:p>
        </w:tc>
        <w:tc>
          <w:tcPr>
            <w:tcW w:w="456" w:type="pct"/>
          </w:tcPr>
          <w:p w14:paraId="5ABD8FA1">
            <w:pPr>
              <w:pStyle w:val="22"/>
              <w:ind w:left="422" w:hanging="422"/>
              <w:rPr>
                <w:rFonts w:ascii="宋体" w:hAnsi="宋体"/>
                <w:b/>
              </w:rPr>
            </w:pPr>
          </w:p>
        </w:tc>
        <w:tc>
          <w:tcPr>
            <w:tcW w:w="729" w:type="pct"/>
          </w:tcPr>
          <w:p w14:paraId="2659FE06">
            <w:pPr>
              <w:pStyle w:val="22"/>
              <w:ind w:left="422" w:hanging="422"/>
              <w:rPr>
                <w:rFonts w:ascii="宋体" w:hAnsi="宋体"/>
                <w:b/>
              </w:rPr>
            </w:pPr>
          </w:p>
        </w:tc>
        <w:tc>
          <w:tcPr>
            <w:tcW w:w="565" w:type="pct"/>
          </w:tcPr>
          <w:p w14:paraId="525894C5">
            <w:pPr>
              <w:pStyle w:val="22"/>
              <w:ind w:left="422" w:hanging="422"/>
              <w:rPr>
                <w:rFonts w:ascii="宋体" w:hAnsi="宋体"/>
                <w:b/>
              </w:rPr>
            </w:pPr>
          </w:p>
        </w:tc>
        <w:tc>
          <w:tcPr>
            <w:tcW w:w="878" w:type="pct"/>
          </w:tcPr>
          <w:p w14:paraId="26D7DC4D">
            <w:pPr>
              <w:pStyle w:val="22"/>
              <w:ind w:left="422" w:hanging="422"/>
              <w:rPr>
                <w:rFonts w:ascii="宋体" w:hAnsi="宋体"/>
                <w:b/>
              </w:rPr>
            </w:pPr>
          </w:p>
        </w:tc>
      </w:tr>
      <w:tr w14:paraId="5BAE4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5" w:type="pct"/>
          </w:tcPr>
          <w:p w14:paraId="61A88AD8">
            <w:pPr>
              <w:pStyle w:val="22"/>
              <w:ind w:left="422" w:hanging="422"/>
              <w:rPr>
                <w:rFonts w:ascii="宋体" w:hAnsi="宋体"/>
                <w:b/>
              </w:rPr>
            </w:pPr>
          </w:p>
        </w:tc>
        <w:tc>
          <w:tcPr>
            <w:tcW w:w="1150" w:type="pct"/>
          </w:tcPr>
          <w:p w14:paraId="688039DD">
            <w:pPr>
              <w:pStyle w:val="22"/>
              <w:ind w:left="422" w:hanging="422"/>
              <w:rPr>
                <w:rFonts w:ascii="宋体" w:hAnsi="宋体"/>
                <w:b/>
              </w:rPr>
            </w:pPr>
          </w:p>
        </w:tc>
        <w:tc>
          <w:tcPr>
            <w:tcW w:w="748" w:type="pct"/>
          </w:tcPr>
          <w:p w14:paraId="0121454D">
            <w:pPr>
              <w:pStyle w:val="22"/>
              <w:ind w:left="422" w:hanging="422"/>
              <w:rPr>
                <w:rFonts w:ascii="宋体" w:hAnsi="宋体"/>
                <w:b/>
              </w:rPr>
            </w:pPr>
          </w:p>
        </w:tc>
        <w:tc>
          <w:tcPr>
            <w:tcW w:w="456" w:type="pct"/>
          </w:tcPr>
          <w:p w14:paraId="2D5D65AF">
            <w:pPr>
              <w:pStyle w:val="22"/>
              <w:ind w:left="422" w:hanging="422"/>
              <w:rPr>
                <w:rFonts w:ascii="宋体" w:hAnsi="宋体"/>
                <w:b/>
              </w:rPr>
            </w:pPr>
          </w:p>
        </w:tc>
        <w:tc>
          <w:tcPr>
            <w:tcW w:w="729" w:type="pct"/>
          </w:tcPr>
          <w:p w14:paraId="5B0B5F5F">
            <w:pPr>
              <w:pStyle w:val="22"/>
              <w:ind w:left="422" w:hanging="422"/>
              <w:rPr>
                <w:rFonts w:ascii="宋体" w:hAnsi="宋体"/>
                <w:b/>
              </w:rPr>
            </w:pPr>
          </w:p>
        </w:tc>
        <w:tc>
          <w:tcPr>
            <w:tcW w:w="565" w:type="pct"/>
          </w:tcPr>
          <w:p w14:paraId="65EEF3FC">
            <w:pPr>
              <w:pStyle w:val="22"/>
              <w:ind w:left="422" w:hanging="422"/>
              <w:rPr>
                <w:rFonts w:ascii="宋体" w:hAnsi="宋体"/>
                <w:b/>
              </w:rPr>
            </w:pPr>
          </w:p>
        </w:tc>
        <w:tc>
          <w:tcPr>
            <w:tcW w:w="878" w:type="pct"/>
          </w:tcPr>
          <w:p w14:paraId="27B268FC">
            <w:pPr>
              <w:pStyle w:val="22"/>
              <w:ind w:left="422" w:hanging="422"/>
              <w:rPr>
                <w:rFonts w:ascii="宋体" w:hAnsi="宋体"/>
                <w:b/>
              </w:rPr>
            </w:pPr>
          </w:p>
        </w:tc>
      </w:tr>
      <w:tr w14:paraId="7EC8D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5" w:type="pct"/>
          </w:tcPr>
          <w:p w14:paraId="058A80E9">
            <w:pPr>
              <w:pStyle w:val="22"/>
              <w:ind w:left="422" w:hanging="422"/>
              <w:rPr>
                <w:rFonts w:ascii="宋体" w:hAnsi="宋体"/>
                <w:b/>
              </w:rPr>
            </w:pPr>
          </w:p>
        </w:tc>
        <w:tc>
          <w:tcPr>
            <w:tcW w:w="1150" w:type="pct"/>
          </w:tcPr>
          <w:p w14:paraId="2165D823">
            <w:pPr>
              <w:pStyle w:val="22"/>
              <w:ind w:left="422" w:hanging="422"/>
              <w:rPr>
                <w:rFonts w:ascii="宋体" w:hAnsi="宋体"/>
                <w:b/>
              </w:rPr>
            </w:pPr>
          </w:p>
        </w:tc>
        <w:tc>
          <w:tcPr>
            <w:tcW w:w="748" w:type="pct"/>
          </w:tcPr>
          <w:p w14:paraId="54BF8F72">
            <w:pPr>
              <w:pStyle w:val="22"/>
              <w:ind w:left="422" w:hanging="422"/>
              <w:rPr>
                <w:rFonts w:ascii="宋体" w:hAnsi="宋体"/>
                <w:b/>
              </w:rPr>
            </w:pPr>
          </w:p>
        </w:tc>
        <w:tc>
          <w:tcPr>
            <w:tcW w:w="456" w:type="pct"/>
          </w:tcPr>
          <w:p w14:paraId="41A31C37">
            <w:pPr>
              <w:pStyle w:val="22"/>
              <w:ind w:left="422" w:hanging="422"/>
              <w:rPr>
                <w:rFonts w:ascii="宋体" w:hAnsi="宋体"/>
                <w:b/>
              </w:rPr>
            </w:pPr>
          </w:p>
        </w:tc>
        <w:tc>
          <w:tcPr>
            <w:tcW w:w="729" w:type="pct"/>
          </w:tcPr>
          <w:p w14:paraId="010E6262">
            <w:pPr>
              <w:pStyle w:val="22"/>
              <w:ind w:left="422" w:hanging="422"/>
              <w:rPr>
                <w:rFonts w:ascii="宋体" w:hAnsi="宋体"/>
                <w:b/>
              </w:rPr>
            </w:pPr>
          </w:p>
        </w:tc>
        <w:tc>
          <w:tcPr>
            <w:tcW w:w="565" w:type="pct"/>
          </w:tcPr>
          <w:p w14:paraId="46894696">
            <w:pPr>
              <w:pStyle w:val="22"/>
              <w:ind w:left="422" w:hanging="422"/>
              <w:rPr>
                <w:rFonts w:ascii="宋体" w:hAnsi="宋体"/>
                <w:b/>
              </w:rPr>
            </w:pPr>
          </w:p>
        </w:tc>
        <w:tc>
          <w:tcPr>
            <w:tcW w:w="878" w:type="pct"/>
          </w:tcPr>
          <w:p w14:paraId="79B62476">
            <w:pPr>
              <w:pStyle w:val="22"/>
              <w:ind w:left="422" w:hanging="422"/>
              <w:rPr>
                <w:rFonts w:ascii="宋体" w:hAnsi="宋体"/>
                <w:b/>
              </w:rPr>
            </w:pPr>
          </w:p>
        </w:tc>
      </w:tr>
      <w:tr w14:paraId="0AE1E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5" w:type="pct"/>
          </w:tcPr>
          <w:p w14:paraId="7AC2C697">
            <w:pPr>
              <w:pStyle w:val="22"/>
              <w:ind w:left="422" w:hanging="422"/>
              <w:rPr>
                <w:rFonts w:ascii="宋体" w:hAnsi="宋体"/>
                <w:b/>
              </w:rPr>
            </w:pPr>
          </w:p>
        </w:tc>
        <w:tc>
          <w:tcPr>
            <w:tcW w:w="1150" w:type="pct"/>
          </w:tcPr>
          <w:p w14:paraId="1E403EF7">
            <w:pPr>
              <w:pStyle w:val="22"/>
              <w:ind w:left="422" w:hanging="422"/>
              <w:rPr>
                <w:rFonts w:ascii="宋体" w:hAnsi="宋体"/>
                <w:b/>
              </w:rPr>
            </w:pPr>
          </w:p>
        </w:tc>
        <w:tc>
          <w:tcPr>
            <w:tcW w:w="748" w:type="pct"/>
          </w:tcPr>
          <w:p w14:paraId="1E3712B9">
            <w:pPr>
              <w:pStyle w:val="22"/>
              <w:ind w:left="422" w:hanging="422"/>
              <w:rPr>
                <w:rFonts w:ascii="宋体" w:hAnsi="宋体"/>
                <w:b/>
              </w:rPr>
            </w:pPr>
          </w:p>
        </w:tc>
        <w:tc>
          <w:tcPr>
            <w:tcW w:w="456" w:type="pct"/>
          </w:tcPr>
          <w:p w14:paraId="5D678ACF">
            <w:pPr>
              <w:pStyle w:val="22"/>
              <w:ind w:left="422" w:hanging="422"/>
              <w:rPr>
                <w:rFonts w:ascii="宋体" w:hAnsi="宋体"/>
                <w:b/>
              </w:rPr>
            </w:pPr>
          </w:p>
        </w:tc>
        <w:tc>
          <w:tcPr>
            <w:tcW w:w="729" w:type="pct"/>
          </w:tcPr>
          <w:p w14:paraId="417E0345">
            <w:pPr>
              <w:pStyle w:val="22"/>
              <w:ind w:left="422" w:hanging="422"/>
              <w:rPr>
                <w:rFonts w:ascii="宋体" w:hAnsi="宋体"/>
                <w:b/>
              </w:rPr>
            </w:pPr>
          </w:p>
        </w:tc>
        <w:tc>
          <w:tcPr>
            <w:tcW w:w="565" w:type="pct"/>
          </w:tcPr>
          <w:p w14:paraId="437AEDFB">
            <w:pPr>
              <w:pStyle w:val="22"/>
              <w:ind w:left="422" w:hanging="422"/>
              <w:rPr>
                <w:rFonts w:ascii="宋体" w:hAnsi="宋体"/>
                <w:b/>
              </w:rPr>
            </w:pPr>
          </w:p>
        </w:tc>
        <w:tc>
          <w:tcPr>
            <w:tcW w:w="878" w:type="pct"/>
          </w:tcPr>
          <w:p w14:paraId="2EACA9F7">
            <w:pPr>
              <w:pStyle w:val="22"/>
              <w:ind w:left="422" w:hanging="422"/>
              <w:rPr>
                <w:rFonts w:ascii="宋体" w:hAnsi="宋体"/>
                <w:b/>
              </w:rPr>
            </w:pPr>
          </w:p>
        </w:tc>
      </w:tr>
    </w:tbl>
    <w:p w14:paraId="44A3B3D5">
      <w:pPr>
        <w:spacing w:line="0" w:lineRule="atLeast"/>
        <w:rPr>
          <w:rFonts w:ascii="宋体" w:hAnsi="宋体"/>
          <w:sz w:val="24"/>
        </w:rPr>
      </w:pPr>
      <w:r>
        <w:rPr>
          <w:rFonts w:hint="eastAsia" w:ascii="宋体" w:hAnsi="宋体"/>
          <w:sz w:val="24"/>
        </w:rPr>
        <w:t>注：</w:t>
      </w:r>
      <w:r>
        <w:rPr>
          <w:rFonts w:hint="eastAsia" w:ascii="宋体" w:hAnsi="宋体" w:cs="宋体"/>
          <w:kern w:val="0"/>
          <w:sz w:val="24"/>
        </w:rPr>
        <w:t>提供近三年同类产品的制造销售业绩（用户名单、联系方式）</w:t>
      </w:r>
      <w:r>
        <w:rPr>
          <w:rFonts w:hint="eastAsia" w:ascii="宋体" w:hAnsi="宋体"/>
          <w:sz w:val="24"/>
        </w:rPr>
        <w:t>，并附合同复印件。</w:t>
      </w:r>
    </w:p>
    <w:p w14:paraId="15B914F1">
      <w:pPr>
        <w:tabs>
          <w:tab w:val="left" w:pos="1578"/>
          <w:tab w:val="left" w:pos="10083"/>
        </w:tabs>
        <w:spacing w:line="500" w:lineRule="exact"/>
        <w:rPr>
          <w:rFonts w:ascii="宋体" w:hAnsi="宋体"/>
          <w:sz w:val="24"/>
        </w:rPr>
      </w:pPr>
    </w:p>
    <w:p w14:paraId="67A25577">
      <w:pPr>
        <w:spacing w:line="660" w:lineRule="exact"/>
        <w:rPr>
          <w:rFonts w:ascii="宋体" w:hAnsi="宋体"/>
          <w:sz w:val="24"/>
        </w:rPr>
      </w:pPr>
      <w:r>
        <w:rPr>
          <w:rFonts w:hint="eastAsia" w:ascii="宋体" w:hAnsi="宋体"/>
          <w:sz w:val="24"/>
        </w:rPr>
        <w:t>投标人：（盖章）</w:t>
      </w:r>
    </w:p>
    <w:p w14:paraId="58DE4D02">
      <w:pPr>
        <w:spacing w:line="660" w:lineRule="exact"/>
        <w:rPr>
          <w:rFonts w:ascii="宋体" w:hAnsi="宋体"/>
          <w:sz w:val="24"/>
        </w:rPr>
      </w:pPr>
      <w:r>
        <w:rPr>
          <w:rFonts w:hint="eastAsia" w:ascii="宋体" w:hAnsi="宋体"/>
          <w:sz w:val="24"/>
        </w:rPr>
        <w:t>法定代表人（委托代理人）：（签字）</w:t>
      </w:r>
    </w:p>
    <w:p w14:paraId="78D6C203">
      <w:pPr>
        <w:spacing w:line="660" w:lineRule="exact"/>
        <w:rPr>
          <w:rFonts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3BFDCCD6">
      <w:pPr>
        <w:rPr>
          <w:rFonts w:eastAsia="黑体"/>
          <w:b/>
          <w:bCs/>
          <w:color w:val="000000"/>
          <w:sz w:val="28"/>
        </w:rPr>
      </w:pPr>
    </w:p>
    <w:p w14:paraId="12A23108">
      <w:pPr>
        <w:rPr>
          <w:rFonts w:ascii="宋体" w:hAnsi="宋体" w:cs="宋体"/>
          <w:b/>
          <w:bCs/>
          <w:color w:val="000000"/>
          <w:sz w:val="28"/>
        </w:rPr>
      </w:pPr>
    </w:p>
    <w:p w14:paraId="6FE4975F">
      <w:pPr>
        <w:spacing w:line="360" w:lineRule="auto"/>
        <w:rPr>
          <w:rFonts w:ascii="宋体" w:hAnsi="宋体" w:cs="宋体"/>
          <w:sz w:val="24"/>
          <w:szCs w:val="21"/>
        </w:rPr>
      </w:pPr>
    </w:p>
    <w:p w14:paraId="3686454B">
      <w:pPr>
        <w:pStyle w:val="15"/>
      </w:pPr>
    </w:p>
    <w:bookmarkEnd w:id="31"/>
    <w:bookmarkEnd w:id="32"/>
    <w:p w14:paraId="2156B488">
      <w:pPr>
        <w:pStyle w:val="73"/>
        <w:numPr>
          <w:ilvl w:val="0"/>
          <w:numId w:val="0"/>
        </w:numPr>
        <w:rPr>
          <w:rFonts w:ascii="宋体" w:hAnsi="宋体" w:eastAsia="宋体" w:cs="宋体"/>
          <w:sz w:val="32"/>
          <w:szCs w:val="32"/>
          <w:highlight w:val="yellow"/>
        </w:rPr>
      </w:pPr>
      <w:r>
        <w:rPr>
          <w:rFonts w:hint="eastAsia" w:ascii="宋体" w:hAnsi="宋体" w:eastAsia="宋体" w:cs="宋体"/>
          <w:sz w:val="32"/>
          <w:szCs w:val="32"/>
          <w:highlight w:val="yellow"/>
        </w:rPr>
        <w:t>附件</w:t>
      </w:r>
      <w:r>
        <w:rPr>
          <w:rFonts w:ascii="宋体" w:hAnsi="宋体" w:eastAsia="宋体" w:cs="宋体"/>
          <w:sz w:val="32"/>
          <w:szCs w:val="32"/>
          <w:highlight w:val="yellow"/>
        </w:rPr>
        <w:t>5</w:t>
      </w:r>
    </w:p>
    <w:p w14:paraId="599A9735">
      <w:pPr>
        <w:pStyle w:val="73"/>
        <w:numPr>
          <w:ilvl w:val="0"/>
          <w:numId w:val="0"/>
        </w:numPr>
        <w:jc w:val="center"/>
      </w:pPr>
      <w:r>
        <w:rPr>
          <w:rFonts w:hint="eastAsia"/>
        </w:rPr>
        <w:t>开标一览表</w:t>
      </w:r>
    </w:p>
    <w:p w14:paraId="2F353E91">
      <w:pPr>
        <w:spacing w:line="360" w:lineRule="auto"/>
        <w:ind w:firstLine="480" w:firstLineChars="200"/>
        <w:rPr>
          <w:rFonts w:ascii="宋体" w:hAnsi="宋体"/>
          <w:color w:val="000000"/>
          <w:sz w:val="24"/>
          <w:szCs w:val="24"/>
        </w:rPr>
      </w:pPr>
      <w:r>
        <w:rPr>
          <w:rFonts w:hint="eastAsia" w:ascii="宋体" w:hAnsi="宋体"/>
          <w:color w:val="000000"/>
          <w:sz w:val="24"/>
          <w:szCs w:val="24"/>
        </w:rPr>
        <w:t>项目名称：</w:t>
      </w:r>
      <w:r>
        <w:rPr>
          <w:rFonts w:hint="eastAsia" w:ascii="宋体" w:hAnsi="宋体"/>
          <w:color w:val="000000"/>
          <w:sz w:val="24"/>
          <w:szCs w:val="24"/>
          <w:u w:val="single"/>
        </w:rPr>
        <w:t xml:space="preserve">                          </w:t>
      </w:r>
      <w:r>
        <w:rPr>
          <w:rFonts w:ascii="宋体" w:hAnsi="宋体"/>
          <w:color w:val="000000"/>
          <w:sz w:val="24"/>
          <w:szCs w:val="24"/>
        </w:rPr>
        <w:t xml:space="preserve">                                                        </w:t>
      </w:r>
    </w:p>
    <w:tbl>
      <w:tblPr>
        <w:tblStyle w:val="31"/>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2F142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4C9B3109">
            <w:pPr>
              <w:jc w:val="center"/>
              <w:rPr>
                <w:b/>
              </w:rPr>
            </w:pPr>
            <w:r>
              <w:rPr>
                <w:rFonts w:hint="eastAsia"/>
                <w:b/>
              </w:rPr>
              <w:t>序号</w:t>
            </w:r>
          </w:p>
        </w:tc>
        <w:tc>
          <w:tcPr>
            <w:tcW w:w="1518" w:type="dxa"/>
            <w:vAlign w:val="center"/>
          </w:tcPr>
          <w:p w14:paraId="2D12A787">
            <w:pPr>
              <w:jc w:val="center"/>
              <w:rPr>
                <w:b/>
              </w:rPr>
            </w:pPr>
            <w:r>
              <w:rPr>
                <w:rFonts w:hint="eastAsia"/>
                <w:b/>
              </w:rPr>
              <w:t>货物名称</w:t>
            </w:r>
          </w:p>
        </w:tc>
        <w:tc>
          <w:tcPr>
            <w:tcW w:w="848" w:type="dxa"/>
            <w:vAlign w:val="center"/>
          </w:tcPr>
          <w:p w14:paraId="6CC1C796">
            <w:pPr>
              <w:jc w:val="center"/>
              <w:rPr>
                <w:b/>
              </w:rPr>
            </w:pPr>
            <w:r>
              <w:rPr>
                <w:rFonts w:hint="eastAsia"/>
                <w:b/>
              </w:rPr>
              <w:t>数量</w:t>
            </w:r>
          </w:p>
        </w:tc>
        <w:tc>
          <w:tcPr>
            <w:tcW w:w="2270" w:type="dxa"/>
            <w:vAlign w:val="center"/>
          </w:tcPr>
          <w:p w14:paraId="10C60AD0">
            <w:pPr>
              <w:jc w:val="center"/>
              <w:rPr>
                <w:b/>
              </w:rPr>
            </w:pPr>
            <w:r>
              <w:rPr>
                <w:rFonts w:hint="eastAsia"/>
                <w:b/>
              </w:rPr>
              <w:t>投标总价</w:t>
            </w:r>
            <w:r>
              <w:rPr>
                <w:rFonts w:hint="eastAsia" w:ascii="等线" w:hAnsi="等线" w:eastAsia="等线"/>
                <w:b/>
              </w:rPr>
              <w:t>（元）</w:t>
            </w:r>
          </w:p>
        </w:tc>
        <w:tc>
          <w:tcPr>
            <w:tcW w:w="1100" w:type="dxa"/>
            <w:vAlign w:val="center"/>
          </w:tcPr>
          <w:p w14:paraId="4FD660CC">
            <w:pPr>
              <w:jc w:val="center"/>
              <w:rPr>
                <w:b/>
              </w:rPr>
            </w:pPr>
            <w:r>
              <w:rPr>
                <w:rFonts w:hint="eastAsia"/>
                <w:b/>
              </w:rPr>
              <w:t>XX</w:t>
            </w:r>
          </w:p>
        </w:tc>
        <w:tc>
          <w:tcPr>
            <w:tcW w:w="1243" w:type="dxa"/>
            <w:vAlign w:val="center"/>
          </w:tcPr>
          <w:p w14:paraId="2C9659B6">
            <w:pPr>
              <w:jc w:val="center"/>
              <w:rPr>
                <w:b/>
              </w:rPr>
            </w:pPr>
            <w:r>
              <w:rPr>
                <w:rFonts w:hint="eastAsia"/>
                <w:b/>
              </w:rPr>
              <w:t>XX</w:t>
            </w:r>
          </w:p>
        </w:tc>
        <w:tc>
          <w:tcPr>
            <w:tcW w:w="705" w:type="dxa"/>
            <w:vAlign w:val="center"/>
          </w:tcPr>
          <w:p w14:paraId="416C2311">
            <w:pPr>
              <w:jc w:val="center"/>
              <w:rPr>
                <w:b/>
              </w:rPr>
            </w:pPr>
            <w:r>
              <w:rPr>
                <w:rFonts w:hint="eastAsia"/>
                <w:b/>
              </w:rPr>
              <w:t>XX</w:t>
            </w:r>
          </w:p>
        </w:tc>
        <w:tc>
          <w:tcPr>
            <w:tcW w:w="699" w:type="dxa"/>
            <w:vAlign w:val="center"/>
          </w:tcPr>
          <w:p w14:paraId="235AF2EE">
            <w:pPr>
              <w:jc w:val="center"/>
              <w:rPr>
                <w:rFonts w:ascii="等线" w:hAnsi="等线" w:eastAsia="等线"/>
                <w:b/>
              </w:rPr>
            </w:pPr>
            <w:r>
              <w:rPr>
                <w:rFonts w:hint="eastAsia"/>
                <w:b/>
              </w:rPr>
              <w:t>商务条款是否偏离</w:t>
            </w:r>
          </w:p>
        </w:tc>
      </w:tr>
      <w:tr w14:paraId="3A723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2061002D">
            <w:pPr>
              <w:jc w:val="center"/>
              <w:rPr>
                <w:b/>
              </w:rPr>
            </w:pPr>
          </w:p>
        </w:tc>
        <w:tc>
          <w:tcPr>
            <w:tcW w:w="1518" w:type="dxa"/>
            <w:vAlign w:val="center"/>
          </w:tcPr>
          <w:p w14:paraId="6DA8477C">
            <w:pPr>
              <w:jc w:val="center"/>
              <w:rPr>
                <w:b/>
              </w:rPr>
            </w:pPr>
          </w:p>
        </w:tc>
        <w:tc>
          <w:tcPr>
            <w:tcW w:w="848" w:type="dxa"/>
            <w:vAlign w:val="center"/>
          </w:tcPr>
          <w:p w14:paraId="057B3242">
            <w:pPr>
              <w:jc w:val="center"/>
              <w:rPr>
                <w:b/>
              </w:rPr>
            </w:pPr>
          </w:p>
        </w:tc>
        <w:tc>
          <w:tcPr>
            <w:tcW w:w="2270" w:type="dxa"/>
            <w:vAlign w:val="center"/>
          </w:tcPr>
          <w:p w14:paraId="361C828D">
            <w:pPr>
              <w:jc w:val="left"/>
              <w:rPr>
                <w:rFonts w:ascii="等线" w:hAnsi="等线" w:eastAsia="等线"/>
                <w:b/>
              </w:rPr>
            </w:pPr>
            <w:r>
              <w:rPr>
                <w:rFonts w:hint="eastAsia" w:ascii="等线" w:hAnsi="等线" w:eastAsia="等线"/>
                <w:b/>
              </w:rPr>
              <w:t>不含税价：</w:t>
            </w:r>
          </w:p>
          <w:p w14:paraId="2E8A6B40">
            <w:pPr>
              <w:jc w:val="left"/>
              <w:rPr>
                <w:rFonts w:ascii="等线" w:hAnsi="等线" w:eastAsia="等线"/>
                <w:b/>
              </w:rPr>
            </w:pPr>
            <w:r>
              <w:rPr>
                <w:rFonts w:hint="eastAsia" w:ascii="等线" w:hAnsi="等线" w:eastAsia="等线"/>
                <w:b/>
              </w:rPr>
              <w:t>含税价格：</w:t>
            </w:r>
            <w:r>
              <w:rPr>
                <w:rFonts w:hint="eastAsia" w:ascii="等线" w:hAnsi="等线" w:eastAsia="等线"/>
                <w:b/>
                <w:u w:val="single"/>
              </w:rPr>
              <w:t xml:space="preserve">    （大写：    ）</w:t>
            </w:r>
          </w:p>
          <w:p w14:paraId="3C5E118B">
            <w:pPr>
              <w:jc w:val="left"/>
              <w:rPr>
                <w:b/>
              </w:rPr>
            </w:pPr>
            <w:r>
              <w:rPr>
                <w:rFonts w:hint="eastAsia" w:ascii="等线" w:hAnsi="等线" w:eastAsia="等线"/>
                <w:b/>
              </w:rPr>
              <w:t>税率：</w:t>
            </w:r>
          </w:p>
        </w:tc>
        <w:tc>
          <w:tcPr>
            <w:tcW w:w="1100" w:type="dxa"/>
            <w:vAlign w:val="center"/>
          </w:tcPr>
          <w:p w14:paraId="5D16AB8F">
            <w:pPr>
              <w:jc w:val="center"/>
              <w:rPr>
                <w:b/>
              </w:rPr>
            </w:pPr>
          </w:p>
        </w:tc>
        <w:tc>
          <w:tcPr>
            <w:tcW w:w="1243" w:type="dxa"/>
            <w:vAlign w:val="center"/>
          </w:tcPr>
          <w:p w14:paraId="539DD230">
            <w:pPr>
              <w:jc w:val="center"/>
              <w:rPr>
                <w:b/>
              </w:rPr>
            </w:pPr>
          </w:p>
        </w:tc>
        <w:tc>
          <w:tcPr>
            <w:tcW w:w="705" w:type="dxa"/>
            <w:vAlign w:val="center"/>
          </w:tcPr>
          <w:p w14:paraId="604606D8">
            <w:pPr>
              <w:jc w:val="center"/>
              <w:rPr>
                <w:b/>
              </w:rPr>
            </w:pPr>
          </w:p>
        </w:tc>
        <w:tc>
          <w:tcPr>
            <w:tcW w:w="699" w:type="dxa"/>
            <w:vAlign w:val="center"/>
          </w:tcPr>
          <w:p w14:paraId="08AE561D">
            <w:pPr>
              <w:jc w:val="center"/>
              <w:rPr>
                <w:b/>
              </w:rPr>
            </w:pPr>
          </w:p>
        </w:tc>
      </w:tr>
    </w:tbl>
    <w:p w14:paraId="3E781017">
      <w:pPr>
        <w:rPr>
          <w:rFonts w:ascii="宋体" w:hAnsi="Arial"/>
          <w:sz w:val="24"/>
          <w:szCs w:val="24"/>
        </w:rPr>
      </w:pPr>
    </w:p>
    <w:p w14:paraId="207E50E2">
      <w:pPr>
        <w:spacing w:line="400" w:lineRule="exact"/>
        <w:rPr>
          <w:rFonts w:ascii="宋体" w:hAnsi="Calibri"/>
          <w:szCs w:val="21"/>
        </w:rPr>
      </w:pPr>
      <w:r>
        <w:rPr>
          <w:rFonts w:hint="eastAsia" w:ascii="宋体" w:hAnsi="宋体"/>
          <w:b/>
          <w:bCs/>
          <w:szCs w:val="21"/>
        </w:rPr>
        <w:t>注：</w:t>
      </w:r>
    </w:p>
    <w:p w14:paraId="2E20CC7B">
      <w:pPr>
        <w:spacing w:line="520" w:lineRule="exact"/>
        <w:rPr>
          <w:rFonts w:ascii="宋体" w:hAnsi="Calibri"/>
          <w:b/>
          <w:bCs/>
          <w:szCs w:val="21"/>
        </w:rPr>
      </w:pPr>
      <w:r>
        <w:rPr>
          <w:rFonts w:ascii="宋体" w:hAnsi="宋体"/>
          <w:b/>
          <w:bCs/>
          <w:szCs w:val="21"/>
        </w:rPr>
        <w:t>1</w:t>
      </w:r>
      <w:r>
        <w:rPr>
          <w:rFonts w:hint="eastAsia" w:ascii="宋体" w:hAnsi="宋体"/>
          <w:b/>
          <w:bCs/>
          <w:szCs w:val="21"/>
        </w:rPr>
        <w:t>.此表中的报价必须与相应的报价明细表中的报价一致。</w:t>
      </w:r>
    </w:p>
    <w:p w14:paraId="56E55C2F">
      <w:pPr>
        <w:spacing w:line="300" w:lineRule="auto"/>
        <w:rPr>
          <w:rFonts w:ascii="宋体" w:hAnsi="宋体" w:cs="宋体"/>
          <w:b/>
        </w:rPr>
      </w:pPr>
      <w:r>
        <w:rPr>
          <w:rFonts w:hint="eastAsia" w:ascii="宋体" w:hAnsi="宋体" w:cs="宋体"/>
          <w:b/>
        </w:rPr>
        <w:t>2.需写明含税价、不含税价格、税率。</w:t>
      </w:r>
    </w:p>
    <w:p w14:paraId="12B43B26">
      <w:pPr>
        <w:pStyle w:val="15"/>
        <w:rPr>
          <w:rFonts w:hAnsi="宋体"/>
          <w:b/>
          <w:bCs/>
          <w:szCs w:val="21"/>
        </w:rPr>
      </w:pPr>
      <w:r>
        <w:rPr>
          <w:rFonts w:hint="eastAsia" w:hAnsi="宋体" w:cs="宋体"/>
          <w:b/>
        </w:rPr>
        <w:t>3.</w:t>
      </w:r>
      <w:r>
        <w:rPr>
          <w:rFonts w:hint="eastAsia" w:hAnsi="宋体"/>
          <w:b/>
          <w:bCs/>
          <w:szCs w:val="21"/>
        </w:rPr>
        <w:t>投标总价包括</w:t>
      </w:r>
      <w:r>
        <w:rPr>
          <w:rFonts w:hint="eastAsia" w:hAnsi="宋体"/>
          <w:b/>
          <w:bCs/>
          <w:szCs w:val="21"/>
          <w:u w:val="single"/>
        </w:rPr>
        <w:t xml:space="preserve">                                             </w:t>
      </w:r>
      <w:r>
        <w:rPr>
          <w:rFonts w:hint="eastAsia" w:hAnsi="宋体"/>
          <w:b/>
          <w:bCs/>
          <w:szCs w:val="21"/>
        </w:rPr>
        <w:t>全部费用。</w:t>
      </w:r>
    </w:p>
    <w:p w14:paraId="6028FD91">
      <w:pPr>
        <w:pStyle w:val="15"/>
        <w:rPr>
          <w:rFonts w:hAnsi="宋体"/>
          <w:b/>
          <w:bCs/>
          <w:szCs w:val="21"/>
          <w:highlight w:val="yellow"/>
        </w:rPr>
      </w:pPr>
    </w:p>
    <w:p w14:paraId="1D2B601A">
      <w:pPr>
        <w:pStyle w:val="15"/>
        <w:rPr>
          <w:rFonts w:hAnsi="宋体"/>
          <w:b/>
          <w:bCs/>
          <w:szCs w:val="21"/>
          <w:highlight w:val="yellow"/>
        </w:rPr>
      </w:pPr>
    </w:p>
    <w:p w14:paraId="7F55D0C9">
      <w:pPr>
        <w:spacing w:line="660" w:lineRule="exact"/>
        <w:jc w:val="center"/>
        <w:rPr>
          <w:rFonts w:ascii="宋体" w:hAnsi="Calibri"/>
          <w:sz w:val="24"/>
        </w:rPr>
      </w:pPr>
      <w:r>
        <w:rPr>
          <w:rFonts w:hint="eastAsia" w:ascii="宋体" w:hAnsi="宋体"/>
          <w:sz w:val="24"/>
        </w:rPr>
        <w:t xml:space="preserve">                        投标人：（盖章）</w:t>
      </w:r>
    </w:p>
    <w:p w14:paraId="6E0E5197">
      <w:pPr>
        <w:spacing w:line="660" w:lineRule="exact"/>
        <w:jc w:val="right"/>
        <w:rPr>
          <w:rFonts w:ascii="宋体" w:hAnsi="Calibri"/>
          <w:sz w:val="24"/>
        </w:rPr>
      </w:pPr>
      <w:r>
        <w:rPr>
          <w:rFonts w:hint="eastAsia" w:ascii="宋体" w:hAnsi="宋体"/>
          <w:sz w:val="24"/>
        </w:rPr>
        <w:t>法定代表人（委托代理人）：（签字）</w:t>
      </w:r>
    </w:p>
    <w:p w14:paraId="1C01A276">
      <w:pPr>
        <w:spacing w:line="660" w:lineRule="exact"/>
        <w:jc w:val="center"/>
        <w:rPr>
          <w:rFonts w:ascii="宋体" w:hAnsi="Calibri"/>
          <w:sz w:val="24"/>
        </w:rPr>
      </w:pPr>
      <w:r>
        <w:rPr>
          <w:rFonts w:hint="eastAsia" w:ascii="宋体" w:hAnsi="宋体"/>
          <w:sz w:val="24"/>
        </w:rPr>
        <w:t xml:space="preserve">                                     日</w:t>
      </w:r>
      <w:r>
        <w:rPr>
          <w:rFonts w:ascii="宋体" w:hAnsi="宋体"/>
          <w:sz w:val="24"/>
        </w:rPr>
        <w:t xml:space="preserve">  </w:t>
      </w:r>
      <w:r>
        <w:rPr>
          <w:rFonts w:hint="eastAsia" w:ascii="宋体" w:hAnsi="宋体"/>
          <w:sz w:val="24"/>
        </w:rPr>
        <w:t>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5B766C9F">
      <w:pPr>
        <w:pStyle w:val="73"/>
        <w:numPr>
          <w:ilvl w:val="0"/>
          <w:numId w:val="0"/>
        </w:numPr>
      </w:pPr>
      <w:r>
        <w:t xml:space="preserve"> </w:t>
      </w:r>
    </w:p>
    <w:p w14:paraId="32F72CA4">
      <w:pPr>
        <w:pStyle w:val="73"/>
        <w:numPr>
          <w:ilvl w:val="0"/>
          <w:numId w:val="0"/>
        </w:numPr>
      </w:pPr>
    </w:p>
    <w:p w14:paraId="0A133EB1">
      <w:pPr>
        <w:pStyle w:val="73"/>
        <w:numPr>
          <w:ilvl w:val="0"/>
          <w:numId w:val="0"/>
        </w:numPr>
      </w:pPr>
    </w:p>
    <w:p w14:paraId="661A4B2E">
      <w:pPr>
        <w:pStyle w:val="73"/>
        <w:numPr>
          <w:ilvl w:val="0"/>
          <w:numId w:val="0"/>
        </w:numPr>
      </w:pPr>
    </w:p>
    <w:p w14:paraId="60FA7E53">
      <w:pPr>
        <w:pStyle w:val="73"/>
        <w:numPr>
          <w:ilvl w:val="0"/>
          <w:numId w:val="0"/>
        </w:numPr>
      </w:pPr>
    </w:p>
    <w:p w14:paraId="72C24CBE">
      <w:pPr>
        <w:pStyle w:val="73"/>
        <w:numPr>
          <w:ilvl w:val="0"/>
          <w:numId w:val="0"/>
        </w:numPr>
      </w:pPr>
    </w:p>
    <w:p w14:paraId="499EB4D4">
      <w:pPr>
        <w:pStyle w:val="73"/>
        <w:numPr>
          <w:ilvl w:val="0"/>
          <w:numId w:val="0"/>
        </w:numPr>
      </w:pPr>
    </w:p>
    <w:p w14:paraId="5E1C6AA8">
      <w:pPr>
        <w:pStyle w:val="118"/>
      </w:pPr>
      <w:bookmarkStart w:id="33" w:name="_Toc26556"/>
      <w:bookmarkStart w:id="34" w:name="_Toc353881017"/>
      <w:bookmarkStart w:id="35" w:name="_Toc639008"/>
      <w:r>
        <w:rPr>
          <w:rFonts w:hint="eastAsia"/>
        </w:rPr>
        <w:t>附件</w:t>
      </w:r>
      <w:r>
        <w:t xml:space="preserve">6 </w:t>
      </w:r>
      <w:r>
        <w:rPr>
          <w:rFonts w:hint="eastAsia"/>
        </w:rPr>
        <w:t>投标报价明细表</w:t>
      </w:r>
      <w:bookmarkEnd w:id="33"/>
      <w:bookmarkEnd w:id="34"/>
      <w:bookmarkEnd w:id="35"/>
    </w:p>
    <w:p w14:paraId="0CDDC71B">
      <w:pPr>
        <w:spacing w:line="600" w:lineRule="exact"/>
        <w:ind w:firstLine="141"/>
        <w:jc w:val="left"/>
        <w:rPr>
          <w:rFonts w:ascii="宋体" w:hAnsi="宋体"/>
          <w:sz w:val="24"/>
          <w:szCs w:val="24"/>
          <w:u w:val="single"/>
        </w:rPr>
      </w:pPr>
      <w:r>
        <w:rPr>
          <w:rFonts w:hint="eastAsia"/>
        </w:rPr>
        <w:t>项目名称</w:t>
      </w:r>
      <w:r>
        <w:rPr>
          <w:rFonts w:hint="eastAsia" w:ascii="宋体" w:hAnsi="宋体"/>
          <w:sz w:val="24"/>
          <w:szCs w:val="24"/>
        </w:rPr>
        <w:t>：</w:t>
      </w:r>
      <w:r>
        <w:rPr>
          <w:rFonts w:ascii="宋体" w:hAnsi="宋体"/>
          <w:sz w:val="24"/>
          <w:szCs w:val="24"/>
        </w:rPr>
        <w:t>E3.Series软件</w:t>
      </w:r>
      <w:r>
        <w:rPr>
          <w:rFonts w:hint="eastAsia" w:ascii="宋体" w:hAnsi="宋体"/>
          <w:sz w:val="24"/>
          <w:szCs w:val="24"/>
        </w:rPr>
        <w:t>增购项目</w:t>
      </w:r>
    </w:p>
    <w:p w14:paraId="20139E51">
      <w:pPr>
        <w:pStyle w:val="112"/>
        <w:ind w:firstLine="480"/>
      </w:pPr>
      <w:r>
        <w:rPr>
          <w:rFonts w:hint="eastAsia"/>
        </w:rPr>
        <w:t xml:space="preserve">    </w:t>
      </w:r>
    </w:p>
    <w:tbl>
      <w:tblPr>
        <w:tblStyle w:val="31"/>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 w:type="dxa"/>
          <w:bottom w:w="0" w:type="dxa"/>
          <w:right w:w="3" w:type="dxa"/>
        </w:tblCellMar>
      </w:tblPr>
      <w:tblGrid>
        <w:gridCol w:w="562"/>
        <w:gridCol w:w="1371"/>
        <w:gridCol w:w="645"/>
        <w:gridCol w:w="645"/>
        <w:gridCol w:w="645"/>
        <w:gridCol w:w="1273"/>
        <w:gridCol w:w="830"/>
        <w:gridCol w:w="850"/>
        <w:gridCol w:w="1205"/>
        <w:gridCol w:w="1036"/>
      </w:tblGrid>
      <w:tr w14:paraId="621C1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 w:type="dxa"/>
            <w:bottom w:w="0" w:type="dxa"/>
            <w:right w:w="3" w:type="dxa"/>
          </w:tblCellMar>
        </w:tblPrEx>
        <w:trPr>
          <w:cantSplit/>
          <w:trHeight w:val="776" w:hRule="atLeast"/>
          <w:jc w:val="center"/>
        </w:trPr>
        <w:tc>
          <w:tcPr>
            <w:tcW w:w="310" w:type="pct"/>
            <w:vAlign w:val="center"/>
          </w:tcPr>
          <w:p w14:paraId="49B77DF1">
            <w:pPr>
              <w:pStyle w:val="116"/>
            </w:pPr>
            <w:r>
              <w:rPr>
                <w:rFonts w:hint="eastAsia"/>
              </w:rPr>
              <w:t>序 号</w:t>
            </w:r>
          </w:p>
        </w:tc>
        <w:tc>
          <w:tcPr>
            <w:tcW w:w="756" w:type="pct"/>
            <w:vAlign w:val="center"/>
          </w:tcPr>
          <w:p w14:paraId="38DAF2CC">
            <w:pPr>
              <w:pStyle w:val="116"/>
            </w:pPr>
            <w:r>
              <w:rPr>
                <w:rFonts w:hint="eastAsia"/>
              </w:rPr>
              <w:t>部件名称</w:t>
            </w:r>
          </w:p>
        </w:tc>
        <w:tc>
          <w:tcPr>
            <w:tcW w:w="356" w:type="pct"/>
            <w:vAlign w:val="center"/>
          </w:tcPr>
          <w:p w14:paraId="060A6754">
            <w:pPr>
              <w:pStyle w:val="116"/>
            </w:pPr>
            <w:r>
              <w:rPr>
                <w:rFonts w:hint="eastAsia"/>
              </w:rPr>
              <w:t>规格型号</w:t>
            </w:r>
          </w:p>
        </w:tc>
        <w:tc>
          <w:tcPr>
            <w:tcW w:w="356" w:type="pct"/>
            <w:vAlign w:val="center"/>
          </w:tcPr>
          <w:p w14:paraId="17FB86CA">
            <w:pPr>
              <w:pStyle w:val="116"/>
            </w:pPr>
            <w:r>
              <w:rPr>
                <w:rFonts w:hint="eastAsia"/>
              </w:rPr>
              <w:t>单 位</w:t>
            </w:r>
          </w:p>
        </w:tc>
        <w:tc>
          <w:tcPr>
            <w:tcW w:w="356" w:type="pct"/>
            <w:vAlign w:val="center"/>
          </w:tcPr>
          <w:p w14:paraId="664C9175">
            <w:pPr>
              <w:pStyle w:val="116"/>
            </w:pPr>
            <w:r>
              <w:rPr>
                <w:rFonts w:hint="eastAsia" w:ascii="宋体" w:hAnsi="宋体" w:cs="宋体"/>
              </w:rPr>
              <w:t>数</w:t>
            </w:r>
            <w:r>
              <w:rPr>
                <w:rFonts w:hint="eastAsia"/>
              </w:rPr>
              <w:t xml:space="preserve">  </w:t>
            </w:r>
            <w:r>
              <w:rPr>
                <w:rFonts w:hint="eastAsia" w:ascii="宋体" w:hAnsi="宋体" w:cs="宋体"/>
              </w:rPr>
              <w:t>量</w:t>
            </w:r>
          </w:p>
        </w:tc>
        <w:tc>
          <w:tcPr>
            <w:tcW w:w="702" w:type="pct"/>
            <w:vAlign w:val="center"/>
          </w:tcPr>
          <w:p w14:paraId="41148292">
            <w:pPr>
              <w:pStyle w:val="116"/>
            </w:pPr>
            <w:r>
              <w:rPr>
                <w:rFonts w:hint="eastAsia"/>
              </w:rPr>
              <w:t>生产厂商名称</w:t>
            </w:r>
          </w:p>
        </w:tc>
        <w:tc>
          <w:tcPr>
            <w:tcW w:w="458" w:type="pct"/>
            <w:vAlign w:val="center"/>
          </w:tcPr>
          <w:p w14:paraId="3C82B4E6">
            <w:pPr>
              <w:pStyle w:val="116"/>
            </w:pPr>
            <w:r>
              <w:rPr>
                <w:rFonts w:hint="eastAsia"/>
              </w:rPr>
              <w:t>单价</w:t>
            </w:r>
          </w:p>
        </w:tc>
        <w:tc>
          <w:tcPr>
            <w:tcW w:w="469" w:type="pct"/>
            <w:vAlign w:val="center"/>
          </w:tcPr>
          <w:p w14:paraId="7A44F559">
            <w:pPr>
              <w:pStyle w:val="116"/>
            </w:pPr>
            <w:r>
              <w:rPr>
                <w:rFonts w:hint="eastAsia"/>
              </w:rPr>
              <w:t>分项金额</w:t>
            </w:r>
          </w:p>
        </w:tc>
        <w:tc>
          <w:tcPr>
            <w:tcW w:w="664" w:type="pct"/>
            <w:vAlign w:val="center"/>
          </w:tcPr>
          <w:p w14:paraId="2704DEAE">
            <w:pPr>
              <w:pStyle w:val="116"/>
            </w:pPr>
            <w:r>
              <w:rPr>
                <w:rFonts w:hint="eastAsia"/>
              </w:rPr>
              <w:t>交货日期</w:t>
            </w:r>
          </w:p>
        </w:tc>
        <w:tc>
          <w:tcPr>
            <w:tcW w:w="567" w:type="pct"/>
            <w:vAlign w:val="center"/>
          </w:tcPr>
          <w:p w14:paraId="6F78E7D5">
            <w:pPr>
              <w:pStyle w:val="116"/>
            </w:pPr>
            <w:r>
              <w:rPr>
                <w:rFonts w:hint="eastAsia"/>
              </w:rPr>
              <w:t>交货地点</w:t>
            </w:r>
          </w:p>
        </w:tc>
      </w:tr>
      <w:tr w14:paraId="0AD55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 w:type="dxa"/>
            <w:bottom w:w="0" w:type="dxa"/>
            <w:right w:w="3" w:type="dxa"/>
          </w:tblCellMar>
        </w:tblPrEx>
        <w:trPr>
          <w:cantSplit/>
          <w:trHeight w:val="586" w:hRule="atLeast"/>
          <w:jc w:val="center"/>
        </w:trPr>
        <w:tc>
          <w:tcPr>
            <w:tcW w:w="310" w:type="pct"/>
            <w:vAlign w:val="center"/>
          </w:tcPr>
          <w:p w14:paraId="279878C1">
            <w:pPr>
              <w:pStyle w:val="116"/>
            </w:pPr>
          </w:p>
        </w:tc>
        <w:tc>
          <w:tcPr>
            <w:tcW w:w="756" w:type="pct"/>
            <w:vAlign w:val="center"/>
          </w:tcPr>
          <w:p w14:paraId="0F21D3E2">
            <w:pPr>
              <w:pStyle w:val="116"/>
            </w:pPr>
          </w:p>
        </w:tc>
        <w:tc>
          <w:tcPr>
            <w:tcW w:w="356" w:type="pct"/>
            <w:vAlign w:val="center"/>
          </w:tcPr>
          <w:p w14:paraId="1B2E5A71">
            <w:pPr>
              <w:pStyle w:val="116"/>
            </w:pPr>
          </w:p>
        </w:tc>
        <w:tc>
          <w:tcPr>
            <w:tcW w:w="356" w:type="pct"/>
            <w:vAlign w:val="center"/>
          </w:tcPr>
          <w:p w14:paraId="289C0F9E">
            <w:pPr>
              <w:pStyle w:val="116"/>
            </w:pPr>
          </w:p>
        </w:tc>
        <w:tc>
          <w:tcPr>
            <w:tcW w:w="356" w:type="pct"/>
            <w:vAlign w:val="center"/>
          </w:tcPr>
          <w:p w14:paraId="0CCD461E">
            <w:pPr>
              <w:pStyle w:val="116"/>
            </w:pPr>
          </w:p>
        </w:tc>
        <w:tc>
          <w:tcPr>
            <w:tcW w:w="702" w:type="pct"/>
            <w:vAlign w:val="center"/>
          </w:tcPr>
          <w:p w14:paraId="5B211515">
            <w:pPr>
              <w:pStyle w:val="116"/>
            </w:pPr>
          </w:p>
        </w:tc>
        <w:tc>
          <w:tcPr>
            <w:tcW w:w="458" w:type="pct"/>
            <w:vAlign w:val="center"/>
          </w:tcPr>
          <w:p w14:paraId="7CE3476B">
            <w:pPr>
              <w:pStyle w:val="116"/>
            </w:pPr>
          </w:p>
        </w:tc>
        <w:tc>
          <w:tcPr>
            <w:tcW w:w="469" w:type="pct"/>
            <w:vAlign w:val="center"/>
          </w:tcPr>
          <w:p w14:paraId="360BAEEE">
            <w:pPr>
              <w:pStyle w:val="116"/>
            </w:pPr>
          </w:p>
        </w:tc>
        <w:tc>
          <w:tcPr>
            <w:tcW w:w="664" w:type="pct"/>
            <w:vAlign w:val="center"/>
          </w:tcPr>
          <w:p w14:paraId="3C4B27C7">
            <w:pPr>
              <w:pStyle w:val="116"/>
            </w:pPr>
          </w:p>
        </w:tc>
        <w:tc>
          <w:tcPr>
            <w:tcW w:w="567" w:type="pct"/>
            <w:vAlign w:val="center"/>
          </w:tcPr>
          <w:p w14:paraId="01C2CD58">
            <w:pPr>
              <w:pStyle w:val="116"/>
            </w:pPr>
          </w:p>
        </w:tc>
      </w:tr>
      <w:tr w14:paraId="3EAB4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 w:type="dxa"/>
            <w:bottom w:w="0" w:type="dxa"/>
            <w:right w:w="3" w:type="dxa"/>
          </w:tblCellMar>
        </w:tblPrEx>
        <w:trPr>
          <w:cantSplit/>
          <w:trHeight w:val="586" w:hRule="atLeast"/>
          <w:jc w:val="center"/>
        </w:trPr>
        <w:tc>
          <w:tcPr>
            <w:tcW w:w="310" w:type="pct"/>
            <w:vAlign w:val="center"/>
          </w:tcPr>
          <w:p w14:paraId="765B2187">
            <w:pPr>
              <w:pStyle w:val="116"/>
            </w:pPr>
          </w:p>
        </w:tc>
        <w:tc>
          <w:tcPr>
            <w:tcW w:w="756" w:type="pct"/>
            <w:vAlign w:val="center"/>
          </w:tcPr>
          <w:p w14:paraId="30A14182">
            <w:pPr>
              <w:pStyle w:val="116"/>
            </w:pPr>
          </w:p>
        </w:tc>
        <w:tc>
          <w:tcPr>
            <w:tcW w:w="356" w:type="pct"/>
            <w:vAlign w:val="center"/>
          </w:tcPr>
          <w:p w14:paraId="446EB4BE">
            <w:pPr>
              <w:pStyle w:val="116"/>
            </w:pPr>
          </w:p>
        </w:tc>
        <w:tc>
          <w:tcPr>
            <w:tcW w:w="356" w:type="pct"/>
            <w:vAlign w:val="center"/>
          </w:tcPr>
          <w:p w14:paraId="2726C91C">
            <w:pPr>
              <w:pStyle w:val="116"/>
            </w:pPr>
          </w:p>
        </w:tc>
        <w:tc>
          <w:tcPr>
            <w:tcW w:w="356" w:type="pct"/>
            <w:vAlign w:val="center"/>
          </w:tcPr>
          <w:p w14:paraId="74636543">
            <w:pPr>
              <w:pStyle w:val="116"/>
            </w:pPr>
          </w:p>
        </w:tc>
        <w:tc>
          <w:tcPr>
            <w:tcW w:w="702" w:type="pct"/>
            <w:vAlign w:val="center"/>
          </w:tcPr>
          <w:p w14:paraId="76538944">
            <w:pPr>
              <w:pStyle w:val="116"/>
            </w:pPr>
          </w:p>
        </w:tc>
        <w:tc>
          <w:tcPr>
            <w:tcW w:w="458" w:type="pct"/>
            <w:vAlign w:val="center"/>
          </w:tcPr>
          <w:p w14:paraId="3C07FA07">
            <w:pPr>
              <w:pStyle w:val="116"/>
            </w:pPr>
          </w:p>
        </w:tc>
        <w:tc>
          <w:tcPr>
            <w:tcW w:w="469" w:type="pct"/>
            <w:vAlign w:val="center"/>
          </w:tcPr>
          <w:p w14:paraId="0BFC214E">
            <w:pPr>
              <w:pStyle w:val="116"/>
            </w:pPr>
          </w:p>
        </w:tc>
        <w:tc>
          <w:tcPr>
            <w:tcW w:w="664" w:type="pct"/>
            <w:vAlign w:val="center"/>
          </w:tcPr>
          <w:p w14:paraId="2F3498B6">
            <w:pPr>
              <w:pStyle w:val="116"/>
            </w:pPr>
          </w:p>
        </w:tc>
        <w:tc>
          <w:tcPr>
            <w:tcW w:w="567" w:type="pct"/>
            <w:vAlign w:val="center"/>
          </w:tcPr>
          <w:p w14:paraId="063B774C">
            <w:pPr>
              <w:pStyle w:val="116"/>
            </w:pPr>
          </w:p>
        </w:tc>
      </w:tr>
      <w:tr w14:paraId="5F6CC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 w:type="dxa"/>
            <w:bottom w:w="0" w:type="dxa"/>
            <w:right w:w="3" w:type="dxa"/>
          </w:tblCellMar>
        </w:tblPrEx>
        <w:trPr>
          <w:cantSplit/>
          <w:trHeight w:val="586" w:hRule="atLeast"/>
          <w:jc w:val="center"/>
        </w:trPr>
        <w:tc>
          <w:tcPr>
            <w:tcW w:w="310" w:type="pct"/>
            <w:vAlign w:val="center"/>
          </w:tcPr>
          <w:p w14:paraId="08411C95">
            <w:pPr>
              <w:pStyle w:val="116"/>
            </w:pPr>
          </w:p>
        </w:tc>
        <w:tc>
          <w:tcPr>
            <w:tcW w:w="756" w:type="pct"/>
            <w:vAlign w:val="center"/>
          </w:tcPr>
          <w:p w14:paraId="1E57134E">
            <w:pPr>
              <w:pStyle w:val="116"/>
            </w:pPr>
          </w:p>
        </w:tc>
        <w:tc>
          <w:tcPr>
            <w:tcW w:w="356" w:type="pct"/>
            <w:vAlign w:val="center"/>
          </w:tcPr>
          <w:p w14:paraId="02AE6006">
            <w:pPr>
              <w:pStyle w:val="116"/>
            </w:pPr>
          </w:p>
        </w:tc>
        <w:tc>
          <w:tcPr>
            <w:tcW w:w="356" w:type="pct"/>
            <w:vAlign w:val="center"/>
          </w:tcPr>
          <w:p w14:paraId="388A7243">
            <w:pPr>
              <w:pStyle w:val="116"/>
            </w:pPr>
          </w:p>
        </w:tc>
        <w:tc>
          <w:tcPr>
            <w:tcW w:w="356" w:type="pct"/>
            <w:vAlign w:val="center"/>
          </w:tcPr>
          <w:p w14:paraId="791DF119">
            <w:pPr>
              <w:pStyle w:val="116"/>
            </w:pPr>
          </w:p>
        </w:tc>
        <w:tc>
          <w:tcPr>
            <w:tcW w:w="702" w:type="pct"/>
            <w:vAlign w:val="center"/>
          </w:tcPr>
          <w:p w14:paraId="2BC2F926">
            <w:pPr>
              <w:pStyle w:val="116"/>
            </w:pPr>
          </w:p>
        </w:tc>
        <w:tc>
          <w:tcPr>
            <w:tcW w:w="458" w:type="pct"/>
            <w:vAlign w:val="center"/>
          </w:tcPr>
          <w:p w14:paraId="65A3782E">
            <w:pPr>
              <w:pStyle w:val="116"/>
            </w:pPr>
          </w:p>
        </w:tc>
        <w:tc>
          <w:tcPr>
            <w:tcW w:w="469" w:type="pct"/>
            <w:vAlign w:val="center"/>
          </w:tcPr>
          <w:p w14:paraId="078DC0E5">
            <w:pPr>
              <w:pStyle w:val="116"/>
            </w:pPr>
          </w:p>
        </w:tc>
        <w:tc>
          <w:tcPr>
            <w:tcW w:w="664" w:type="pct"/>
            <w:vAlign w:val="center"/>
          </w:tcPr>
          <w:p w14:paraId="38183239">
            <w:pPr>
              <w:pStyle w:val="116"/>
            </w:pPr>
          </w:p>
        </w:tc>
        <w:tc>
          <w:tcPr>
            <w:tcW w:w="567" w:type="pct"/>
            <w:vAlign w:val="center"/>
          </w:tcPr>
          <w:p w14:paraId="2F7B6052">
            <w:pPr>
              <w:pStyle w:val="116"/>
            </w:pPr>
          </w:p>
        </w:tc>
      </w:tr>
      <w:tr w14:paraId="6C322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 w:type="dxa"/>
            <w:bottom w:w="0" w:type="dxa"/>
            <w:right w:w="3" w:type="dxa"/>
          </w:tblCellMar>
        </w:tblPrEx>
        <w:trPr>
          <w:cantSplit/>
          <w:trHeight w:val="586" w:hRule="atLeast"/>
          <w:jc w:val="center"/>
        </w:trPr>
        <w:tc>
          <w:tcPr>
            <w:tcW w:w="310" w:type="pct"/>
            <w:vAlign w:val="center"/>
          </w:tcPr>
          <w:p w14:paraId="2F22A101">
            <w:pPr>
              <w:pStyle w:val="116"/>
            </w:pPr>
          </w:p>
        </w:tc>
        <w:tc>
          <w:tcPr>
            <w:tcW w:w="756" w:type="pct"/>
            <w:vAlign w:val="center"/>
          </w:tcPr>
          <w:p w14:paraId="5A178049">
            <w:pPr>
              <w:pStyle w:val="116"/>
            </w:pPr>
          </w:p>
        </w:tc>
        <w:tc>
          <w:tcPr>
            <w:tcW w:w="356" w:type="pct"/>
            <w:vAlign w:val="center"/>
          </w:tcPr>
          <w:p w14:paraId="29B40BD7">
            <w:pPr>
              <w:pStyle w:val="116"/>
            </w:pPr>
          </w:p>
        </w:tc>
        <w:tc>
          <w:tcPr>
            <w:tcW w:w="356" w:type="pct"/>
            <w:vAlign w:val="center"/>
          </w:tcPr>
          <w:p w14:paraId="7AA85E00">
            <w:pPr>
              <w:pStyle w:val="116"/>
            </w:pPr>
          </w:p>
        </w:tc>
        <w:tc>
          <w:tcPr>
            <w:tcW w:w="356" w:type="pct"/>
            <w:vAlign w:val="center"/>
          </w:tcPr>
          <w:p w14:paraId="428B88A4">
            <w:pPr>
              <w:pStyle w:val="116"/>
            </w:pPr>
          </w:p>
        </w:tc>
        <w:tc>
          <w:tcPr>
            <w:tcW w:w="702" w:type="pct"/>
            <w:vAlign w:val="center"/>
          </w:tcPr>
          <w:p w14:paraId="1AE52A48">
            <w:pPr>
              <w:pStyle w:val="116"/>
            </w:pPr>
          </w:p>
        </w:tc>
        <w:tc>
          <w:tcPr>
            <w:tcW w:w="458" w:type="pct"/>
            <w:vAlign w:val="center"/>
          </w:tcPr>
          <w:p w14:paraId="672EAFCF">
            <w:pPr>
              <w:pStyle w:val="116"/>
            </w:pPr>
          </w:p>
        </w:tc>
        <w:tc>
          <w:tcPr>
            <w:tcW w:w="469" w:type="pct"/>
            <w:vAlign w:val="center"/>
          </w:tcPr>
          <w:p w14:paraId="67E59629">
            <w:pPr>
              <w:pStyle w:val="116"/>
            </w:pPr>
          </w:p>
        </w:tc>
        <w:tc>
          <w:tcPr>
            <w:tcW w:w="664" w:type="pct"/>
            <w:vAlign w:val="center"/>
          </w:tcPr>
          <w:p w14:paraId="4973FB9C">
            <w:pPr>
              <w:pStyle w:val="116"/>
            </w:pPr>
          </w:p>
        </w:tc>
        <w:tc>
          <w:tcPr>
            <w:tcW w:w="567" w:type="pct"/>
            <w:vAlign w:val="center"/>
          </w:tcPr>
          <w:p w14:paraId="1F700D96">
            <w:pPr>
              <w:pStyle w:val="116"/>
            </w:pPr>
          </w:p>
        </w:tc>
      </w:tr>
      <w:tr w14:paraId="5827E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 w:type="dxa"/>
            <w:bottom w:w="0" w:type="dxa"/>
            <w:right w:w="3" w:type="dxa"/>
          </w:tblCellMar>
        </w:tblPrEx>
        <w:trPr>
          <w:cantSplit/>
          <w:trHeight w:val="586" w:hRule="atLeast"/>
          <w:jc w:val="center"/>
        </w:trPr>
        <w:tc>
          <w:tcPr>
            <w:tcW w:w="310" w:type="pct"/>
            <w:vAlign w:val="center"/>
          </w:tcPr>
          <w:p w14:paraId="5175E3F6">
            <w:pPr>
              <w:pStyle w:val="116"/>
            </w:pPr>
          </w:p>
        </w:tc>
        <w:tc>
          <w:tcPr>
            <w:tcW w:w="756" w:type="pct"/>
            <w:vAlign w:val="center"/>
          </w:tcPr>
          <w:p w14:paraId="7C01F3DD">
            <w:pPr>
              <w:pStyle w:val="116"/>
            </w:pPr>
          </w:p>
        </w:tc>
        <w:tc>
          <w:tcPr>
            <w:tcW w:w="356" w:type="pct"/>
            <w:vAlign w:val="center"/>
          </w:tcPr>
          <w:p w14:paraId="6B6523FF">
            <w:pPr>
              <w:pStyle w:val="116"/>
            </w:pPr>
          </w:p>
        </w:tc>
        <w:tc>
          <w:tcPr>
            <w:tcW w:w="356" w:type="pct"/>
            <w:vAlign w:val="center"/>
          </w:tcPr>
          <w:p w14:paraId="2A3D1BA0">
            <w:pPr>
              <w:pStyle w:val="116"/>
            </w:pPr>
          </w:p>
        </w:tc>
        <w:tc>
          <w:tcPr>
            <w:tcW w:w="356" w:type="pct"/>
            <w:vAlign w:val="center"/>
          </w:tcPr>
          <w:p w14:paraId="39687ADA">
            <w:pPr>
              <w:pStyle w:val="116"/>
            </w:pPr>
          </w:p>
        </w:tc>
        <w:tc>
          <w:tcPr>
            <w:tcW w:w="702" w:type="pct"/>
            <w:vAlign w:val="center"/>
          </w:tcPr>
          <w:p w14:paraId="143ADD9D">
            <w:pPr>
              <w:pStyle w:val="116"/>
            </w:pPr>
          </w:p>
        </w:tc>
        <w:tc>
          <w:tcPr>
            <w:tcW w:w="458" w:type="pct"/>
            <w:vAlign w:val="center"/>
          </w:tcPr>
          <w:p w14:paraId="3E661A23">
            <w:pPr>
              <w:pStyle w:val="116"/>
            </w:pPr>
          </w:p>
        </w:tc>
        <w:tc>
          <w:tcPr>
            <w:tcW w:w="469" w:type="pct"/>
            <w:vAlign w:val="center"/>
          </w:tcPr>
          <w:p w14:paraId="158F5148">
            <w:pPr>
              <w:pStyle w:val="116"/>
            </w:pPr>
          </w:p>
        </w:tc>
        <w:tc>
          <w:tcPr>
            <w:tcW w:w="664" w:type="pct"/>
            <w:vAlign w:val="center"/>
          </w:tcPr>
          <w:p w14:paraId="12515871">
            <w:pPr>
              <w:pStyle w:val="116"/>
            </w:pPr>
          </w:p>
        </w:tc>
        <w:tc>
          <w:tcPr>
            <w:tcW w:w="567" w:type="pct"/>
            <w:vAlign w:val="center"/>
          </w:tcPr>
          <w:p w14:paraId="5C934044">
            <w:pPr>
              <w:pStyle w:val="116"/>
            </w:pPr>
          </w:p>
        </w:tc>
      </w:tr>
      <w:tr w14:paraId="1F441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 w:type="dxa"/>
            <w:bottom w:w="0" w:type="dxa"/>
            <w:right w:w="3" w:type="dxa"/>
          </w:tblCellMar>
        </w:tblPrEx>
        <w:trPr>
          <w:cantSplit/>
          <w:trHeight w:val="586" w:hRule="atLeast"/>
          <w:jc w:val="center"/>
        </w:trPr>
        <w:tc>
          <w:tcPr>
            <w:tcW w:w="310" w:type="pct"/>
            <w:vAlign w:val="center"/>
          </w:tcPr>
          <w:p w14:paraId="611B643A">
            <w:pPr>
              <w:pStyle w:val="116"/>
            </w:pPr>
          </w:p>
        </w:tc>
        <w:tc>
          <w:tcPr>
            <w:tcW w:w="756" w:type="pct"/>
            <w:vAlign w:val="center"/>
          </w:tcPr>
          <w:p w14:paraId="668975F4">
            <w:pPr>
              <w:pStyle w:val="116"/>
            </w:pPr>
          </w:p>
        </w:tc>
        <w:tc>
          <w:tcPr>
            <w:tcW w:w="356" w:type="pct"/>
            <w:vAlign w:val="center"/>
          </w:tcPr>
          <w:p w14:paraId="0A6D4026">
            <w:pPr>
              <w:pStyle w:val="116"/>
            </w:pPr>
          </w:p>
        </w:tc>
        <w:tc>
          <w:tcPr>
            <w:tcW w:w="356" w:type="pct"/>
            <w:vAlign w:val="center"/>
          </w:tcPr>
          <w:p w14:paraId="66B324B0">
            <w:pPr>
              <w:pStyle w:val="116"/>
            </w:pPr>
          </w:p>
        </w:tc>
        <w:tc>
          <w:tcPr>
            <w:tcW w:w="356" w:type="pct"/>
            <w:vAlign w:val="center"/>
          </w:tcPr>
          <w:p w14:paraId="0D4DFCB4">
            <w:pPr>
              <w:pStyle w:val="116"/>
            </w:pPr>
          </w:p>
        </w:tc>
        <w:tc>
          <w:tcPr>
            <w:tcW w:w="702" w:type="pct"/>
            <w:vAlign w:val="center"/>
          </w:tcPr>
          <w:p w14:paraId="16A9BD38">
            <w:pPr>
              <w:pStyle w:val="116"/>
            </w:pPr>
          </w:p>
        </w:tc>
        <w:tc>
          <w:tcPr>
            <w:tcW w:w="458" w:type="pct"/>
            <w:vAlign w:val="center"/>
          </w:tcPr>
          <w:p w14:paraId="7D7FF1EB">
            <w:pPr>
              <w:pStyle w:val="116"/>
            </w:pPr>
          </w:p>
        </w:tc>
        <w:tc>
          <w:tcPr>
            <w:tcW w:w="469" w:type="pct"/>
            <w:vAlign w:val="center"/>
          </w:tcPr>
          <w:p w14:paraId="62ABB8C8">
            <w:pPr>
              <w:pStyle w:val="116"/>
            </w:pPr>
          </w:p>
        </w:tc>
        <w:tc>
          <w:tcPr>
            <w:tcW w:w="664" w:type="pct"/>
            <w:vAlign w:val="center"/>
          </w:tcPr>
          <w:p w14:paraId="5D035A22">
            <w:pPr>
              <w:pStyle w:val="116"/>
            </w:pPr>
          </w:p>
        </w:tc>
        <w:tc>
          <w:tcPr>
            <w:tcW w:w="567" w:type="pct"/>
            <w:vAlign w:val="center"/>
          </w:tcPr>
          <w:p w14:paraId="7C461430">
            <w:pPr>
              <w:pStyle w:val="116"/>
            </w:pPr>
          </w:p>
        </w:tc>
      </w:tr>
      <w:tr w14:paraId="19B34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 w:type="dxa"/>
            <w:bottom w:w="0" w:type="dxa"/>
            <w:right w:w="3" w:type="dxa"/>
          </w:tblCellMar>
        </w:tblPrEx>
        <w:trPr>
          <w:cantSplit/>
          <w:trHeight w:val="586" w:hRule="atLeast"/>
          <w:jc w:val="center"/>
        </w:trPr>
        <w:tc>
          <w:tcPr>
            <w:tcW w:w="310" w:type="pct"/>
            <w:vAlign w:val="center"/>
          </w:tcPr>
          <w:p w14:paraId="5AC44F89">
            <w:pPr>
              <w:pStyle w:val="116"/>
            </w:pPr>
          </w:p>
        </w:tc>
        <w:tc>
          <w:tcPr>
            <w:tcW w:w="756" w:type="pct"/>
            <w:vAlign w:val="center"/>
          </w:tcPr>
          <w:p w14:paraId="49AABE3F">
            <w:pPr>
              <w:pStyle w:val="116"/>
            </w:pPr>
          </w:p>
        </w:tc>
        <w:tc>
          <w:tcPr>
            <w:tcW w:w="356" w:type="pct"/>
            <w:vAlign w:val="center"/>
          </w:tcPr>
          <w:p w14:paraId="26ED3B7F">
            <w:pPr>
              <w:pStyle w:val="116"/>
            </w:pPr>
          </w:p>
        </w:tc>
        <w:tc>
          <w:tcPr>
            <w:tcW w:w="356" w:type="pct"/>
            <w:vAlign w:val="center"/>
          </w:tcPr>
          <w:p w14:paraId="62355587">
            <w:pPr>
              <w:pStyle w:val="116"/>
            </w:pPr>
          </w:p>
        </w:tc>
        <w:tc>
          <w:tcPr>
            <w:tcW w:w="356" w:type="pct"/>
            <w:vAlign w:val="center"/>
          </w:tcPr>
          <w:p w14:paraId="617BD9A5">
            <w:pPr>
              <w:pStyle w:val="116"/>
            </w:pPr>
          </w:p>
        </w:tc>
        <w:tc>
          <w:tcPr>
            <w:tcW w:w="702" w:type="pct"/>
            <w:vAlign w:val="center"/>
          </w:tcPr>
          <w:p w14:paraId="6D5FE84E">
            <w:pPr>
              <w:pStyle w:val="116"/>
            </w:pPr>
          </w:p>
        </w:tc>
        <w:tc>
          <w:tcPr>
            <w:tcW w:w="458" w:type="pct"/>
            <w:vAlign w:val="center"/>
          </w:tcPr>
          <w:p w14:paraId="156F9F6F">
            <w:pPr>
              <w:pStyle w:val="116"/>
            </w:pPr>
          </w:p>
        </w:tc>
        <w:tc>
          <w:tcPr>
            <w:tcW w:w="469" w:type="pct"/>
            <w:vAlign w:val="center"/>
          </w:tcPr>
          <w:p w14:paraId="37DC0DB8">
            <w:pPr>
              <w:pStyle w:val="116"/>
            </w:pPr>
          </w:p>
        </w:tc>
        <w:tc>
          <w:tcPr>
            <w:tcW w:w="664" w:type="pct"/>
            <w:vAlign w:val="center"/>
          </w:tcPr>
          <w:p w14:paraId="220E2B14">
            <w:pPr>
              <w:pStyle w:val="116"/>
            </w:pPr>
          </w:p>
        </w:tc>
        <w:tc>
          <w:tcPr>
            <w:tcW w:w="567" w:type="pct"/>
            <w:vAlign w:val="center"/>
          </w:tcPr>
          <w:p w14:paraId="1306C1DC">
            <w:pPr>
              <w:pStyle w:val="116"/>
            </w:pPr>
          </w:p>
        </w:tc>
      </w:tr>
      <w:tr w14:paraId="6236A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 w:type="dxa"/>
            <w:bottom w:w="0" w:type="dxa"/>
            <w:right w:w="3" w:type="dxa"/>
          </w:tblCellMar>
        </w:tblPrEx>
        <w:trPr>
          <w:cantSplit/>
          <w:trHeight w:val="586" w:hRule="atLeast"/>
          <w:jc w:val="center"/>
        </w:trPr>
        <w:tc>
          <w:tcPr>
            <w:tcW w:w="310" w:type="pct"/>
            <w:vAlign w:val="center"/>
          </w:tcPr>
          <w:p w14:paraId="6475DF0D">
            <w:pPr>
              <w:pStyle w:val="116"/>
            </w:pPr>
          </w:p>
        </w:tc>
        <w:tc>
          <w:tcPr>
            <w:tcW w:w="756" w:type="pct"/>
            <w:vAlign w:val="center"/>
          </w:tcPr>
          <w:p w14:paraId="621B832D">
            <w:pPr>
              <w:pStyle w:val="116"/>
            </w:pPr>
          </w:p>
        </w:tc>
        <w:tc>
          <w:tcPr>
            <w:tcW w:w="356" w:type="pct"/>
            <w:vAlign w:val="center"/>
          </w:tcPr>
          <w:p w14:paraId="2DB5B7CB">
            <w:pPr>
              <w:pStyle w:val="116"/>
            </w:pPr>
          </w:p>
        </w:tc>
        <w:tc>
          <w:tcPr>
            <w:tcW w:w="356" w:type="pct"/>
            <w:vAlign w:val="center"/>
          </w:tcPr>
          <w:p w14:paraId="3620E063">
            <w:pPr>
              <w:pStyle w:val="116"/>
            </w:pPr>
          </w:p>
        </w:tc>
        <w:tc>
          <w:tcPr>
            <w:tcW w:w="356" w:type="pct"/>
            <w:vAlign w:val="center"/>
          </w:tcPr>
          <w:p w14:paraId="4D1811BC">
            <w:pPr>
              <w:pStyle w:val="116"/>
            </w:pPr>
          </w:p>
        </w:tc>
        <w:tc>
          <w:tcPr>
            <w:tcW w:w="702" w:type="pct"/>
            <w:vAlign w:val="center"/>
          </w:tcPr>
          <w:p w14:paraId="0ACF2058">
            <w:pPr>
              <w:pStyle w:val="116"/>
            </w:pPr>
          </w:p>
        </w:tc>
        <w:tc>
          <w:tcPr>
            <w:tcW w:w="458" w:type="pct"/>
            <w:vAlign w:val="center"/>
          </w:tcPr>
          <w:p w14:paraId="551F7257">
            <w:pPr>
              <w:pStyle w:val="116"/>
            </w:pPr>
          </w:p>
        </w:tc>
        <w:tc>
          <w:tcPr>
            <w:tcW w:w="469" w:type="pct"/>
            <w:vAlign w:val="center"/>
          </w:tcPr>
          <w:p w14:paraId="07C46C9E">
            <w:pPr>
              <w:pStyle w:val="116"/>
            </w:pPr>
          </w:p>
        </w:tc>
        <w:tc>
          <w:tcPr>
            <w:tcW w:w="664" w:type="pct"/>
            <w:vAlign w:val="center"/>
          </w:tcPr>
          <w:p w14:paraId="170926A5">
            <w:pPr>
              <w:pStyle w:val="116"/>
            </w:pPr>
          </w:p>
        </w:tc>
        <w:tc>
          <w:tcPr>
            <w:tcW w:w="567" w:type="pct"/>
            <w:vAlign w:val="center"/>
          </w:tcPr>
          <w:p w14:paraId="400C6EB2">
            <w:pPr>
              <w:pStyle w:val="116"/>
            </w:pPr>
          </w:p>
        </w:tc>
      </w:tr>
      <w:tr w14:paraId="26C3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 w:type="dxa"/>
            <w:bottom w:w="0" w:type="dxa"/>
            <w:right w:w="3" w:type="dxa"/>
          </w:tblCellMar>
        </w:tblPrEx>
        <w:trPr>
          <w:cantSplit/>
          <w:trHeight w:val="586" w:hRule="atLeast"/>
          <w:jc w:val="center"/>
        </w:trPr>
        <w:tc>
          <w:tcPr>
            <w:tcW w:w="1066" w:type="pct"/>
            <w:gridSpan w:val="2"/>
            <w:vAlign w:val="center"/>
          </w:tcPr>
          <w:p w14:paraId="04AF80B6">
            <w:pPr>
              <w:pStyle w:val="116"/>
            </w:pPr>
            <w:r>
              <w:rPr>
                <w:rFonts w:hint="eastAsia"/>
              </w:rPr>
              <w:t>合计：</w:t>
            </w:r>
          </w:p>
        </w:tc>
        <w:tc>
          <w:tcPr>
            <w:tcW w:w="356" w:type="pct"/>
            <w:vAlign w:val="center"/>
          </w:tcPr>
          <w:p w14:paraId="7765576F">
            <w:pPr>
              <w:pStyle w:val="116"/>
            </w:pPr>
          </w:p>
        </w:tc>
        <w:tc>
          <w:tcPr>
            <w:tcW w:w="3576" w:type="pct"/>
            <w:gridSpan w:val="7"/>
            <w:vAlign w:val="center"/>
          </w:tcPr>
          <w:p w14:paraId="2C10B15F">
            <w:pPr>
              <w:pStyle w:val="116"/>
            </w:pPr>
          </w:p>
        </w:tc>
      </w:tr>
    </w:tbl>
    <w:p w14:paraId="4E85469A">
      <w:pPr>
        <w:pStyle w:val="112"/>
        <w:ind w:firstLine="480"/>
      </w:pPr>
      <w:r>
        <w:rPr>
          <w:rFonts w:hint="eastAsia"/>
        </w:rPr>
        <w:t xml:space="preserve">                                                 </w:t>
      </w:r>
    </w:p>
    <w:p w14:paraId="4F476D52">
      <w:pPr>
        <w:pStyle w:val="112"/>
        <w:ind w:firstLine="480"/>
      </w:pPr>
      <w:r>
        <w:rPr>
          <w:rFonts w:hint="eastAsia"/>
        </w:rPr>
        <w:t>注：</w:t>
      </w:r>
    </w:p>
    <w:p w14:paraId="3604034C">
      <w:pPr>
        <w:pStyle w:val="112"/>
        <w:ind w:firstLine="480"/>
        <w:rPr>
          <w:rFonts w:ascii="仿宋" w:hAnsi="仿宋" w:eastAsia="仿宋" w:cs="仿宋"/>
        </w:rPr>
      </w:pPr>
      <w:r>
        <w:rPr>
          <w:rFonts w:ascii="仿宋" w:hAnsi="仿宋"/>
        </w:rPr>
        <w:t>1</w:t>
      </w:r>
      <w:r>
        <w:rPr>
          <w:rFonts w:hint="eastAsia" w:eastAsia="仿宋"/>
          <w:lang w:val="zh-TW" w:eastAsia="zh-TW"/>
        </w:rPr>
        <w:t>、以上报价均应基于对应法规的最新版本计算价格，</w:t>
      </w:r>
      <w:r>
        <w:rPr>
          <w:rFonts w:hint="eastAsia" w:eastAsia="SimSong Bold"/>
          <w:lang w:val="zh-TW" w:eastAsia="zh-TW"/>
        </w:rPr>
        <w:t>提供含税价和不含税价格并标明税率。</w:t>
      </w:r>
    </w:p>
    <w:p w14:paraId="52880FB2">
      <w:pPr>
        <w:pStyle w:val="112"/>
        <w:ind w:firstLine="480"/>
        <w:rPr>
          <w:rFonts w:ascii="仿宋" w:hAnsi="仿宋" w:eastAsia="仿宋" w:cs="仿宋"/>
        </w:rPr>
      </w:pPr>
      <w:r>
        <w:rPr>
          <w:rFonts w:ascii="仿宋" w:hAnsi="仿宋"/>
        </w:rPr>
        <w:t>2</w:t>
      </w:r>
      <w:r>
        <w:rPr>
          <w:rFonts w:hint="eastAsia" w:eastAsia="仿宋"/>
          <w:lang w:val="zh-TW" w:eastAsia="zh-TW"/>
        </w:rPr>
        <w:t>、系统实施服务费应</w:t>
      </w:r>
      <w:r>
        <w:rPr>
          <w:rFonts w:hint="eastAsia" w:eastAsia="仿宋"/>
        </w:rPr>
        <w:t>列名项目服务总人天数（可以按项目阶段分开列明）及人天单价</w:t>
      </w:r>
      <w:r>
        <w:rPr>
          <w:rFonts w:hint="eastAsia" w:eastAsia="仿宋"/>
          <w:lang w:val="zh-TW" w:eastAsia="zh-TW"/>
        </w:rPr>
        <w:t>。</w:t>
      </w:r>
    </w:p>
    <w:p w14:paraId="152F1332">
      <w:pPr>
        <w:pStyle w:val="112"/>
        <w:ind w:firstLine="480"/>
        <w:rPr>
          <w:rFonts w:ascii="仿宋" w:hAnsi="仿宋" w:eastAsia="仿宋" w:cs="仿宋"/>
        </w:rPr>
      </w:pPr>
      <w:r>
        <w:rPr>
          <w:rFonts w:ascii="仿宋" w:hAnsi="仿宋"/>
        </w:rPr>
        <w:t>3</w:t>
      </w:r>
      <w:r>
        <w:rPr>
          <w:rFonts w:hint="eastAsia" w:eastAsia="仿宋"/>
          <w:lang w:val="zh-TW" w:eastAsia="zh-TW"/>
        </w:rPr>
        <w:t>、如上表中的有关费用投标人免费提供，请注明</w:t>
      </w:r>
      <w:r>
        <w:rPr>
          <w:rFonts w:ascii="仿宋" w:hAnsi="仿宋"/>
        </w:rPr>
        <w:t>“</w:t>
      </w:r>
      <w:r>
        <w:rPr>
          <w:rFonts w:hint="eastAsia" w:eastAsia="仿宋"/>
          <w:lang w:val="zh-TW" w:eastAsia="zh-TW"/>
        </w:rPr>
        <w:t>免费</w:t>
      </w:r>
      <w:r>
        <w:rPr>
          <w:rFonts w:ascii="仿宋" w:hAnsi="仿宋"/>
        </w:rPr>
        <w:t>”</w:t>
      </w:r>
      <w:r>
        <w:rPr>
          <w:rFonts w:hint="eastAsia" w:eastAsia="仿宋"/>
          <w:lang w:val="zh-TW" w:eastAsia="zh-TW"/>
        </w:rPr>
        <w:t>字样。</w:t>
      </w:r>
    </w:p>
    <w:p w14:paraId="1497C8D8">
      <w:pPr>
        <w:pStyle w:val="112"/>
        <w:ind w:firstLine="480"/>
      </w:pPr>
    </w:p>
    <w:p w14:paraId="440DB659">
      <w:pPr>
        <w:pStyle w:val="112"/>
        <w:ind w:firstLine="480"/>
      </w:pPr>
      <w:r>
        <w:rPr>
          <w:rFonts w:hint="eastAsia"/>
        </w:rPr>
        <w:t>投标人：（盖章）</w:t>
      </w:r>
    </w:p>
    <w:p w14:paraId="1E2BE940">
      <w:pPr>
        <w:pStyle w:val="112"/>
        <w:ind w:firstLine="480"/>
      </w:pPr>
      <w:r>
        <w:rPr>
          <w:rFonts w:hint="eastAsia"/>
        </w:rPr>
        <w:t>法定代表人（委托代理人）：（签字）</w:t>
      </w:r>
    </w:p>
    <w:p w14:paraId="5B5CCC76">
      <w:pPr>
        <w:pStyle w:val="73"/>
        <w:numPr>
          <w:ilvl w:val="0"/>
          <w:numId w:val="0"/>
        </w:numPr>
      </w:pPr>
    </w:p>
    <w:p w14:paraId="777054D9">
      <w:pPr>
        <w:pStyle w:val="73"/>
        <w:numPr>
          <w:ilvl w:val="0"/>
          <w:numId w:val="0"/>
        </w:numPr>
      </w:pPr>
    </w:p>
    <w:p w14:paraId="13BE89A9">
      <w:pPr>
        <w:pStyle w:val="73"/>
        <w:numPr>
          <w:ilvl w:val="0"/>
          <w:numId w:val="0"/>
        </w:numPr>
      </w:pPr>
    </w:p>
    <w:p w14:paraId="15976172">
      <w:pPr>
        <w:pStyle w:val="118"/>
      </w:pPr>
      <w:r>
        <w:rPr>
          <w:rFonts w:hint="eastAsia"/>
        </w:rPr>
        <w:t>附件</w:t>
      </w:r>
      <w:r>
        <w:t xml:space="preserve">7 </w:t>
      </w:r>
      <w:r>
        <w:rPr>
          <w:rFonts w:hint="eastAsia"/>
        </w:rPr>
        <w:t>服务承诺函</w:t>
      </w:r>
    </w:p>
    <w:p w14:paraId="5F154BAA">
      <w:pPr>
        <w:spacing w:line="240" w:lineRule="exact"/>
        <w:jc w:val="center"/>
        <w:rPr>
          <w:rFonts w:ascii="宋体" w:hAnsi="宋体"/>
          <w:b/>
          <w:bCs/>
          <w:sz w:val="36"/>
        </w:rPr>
      </w:pPr>
    </w:p>
    <w:p w14:paraId="6F4D8C82">
      <w:pPr>
        <w:spacing w:line="600" w:lineRule="exact"/>
        <w:ind w:firstLine="141"/>
        <w:jc w:val="left"/>
        <w:rPr>
          <w:rFonts w:ascii="宋体" w:hAnsi="宋体"/>
          <w:sz w:val="24"/>
          <w:szCs w:val="24"/>
          <w:u w:val="single"/>
        </w:rPr>
      </w:pPr>
      <w:r>
        <w:rPr>
          <w:rFonts w:hint="eastAsia" w:ascii="宋体" w:hAnsi="宋体"/>
          <w:sz w:val="24"/>
        </w:rPr>
        <w:t>项目名称：</w:t>
      </w:r>
      <w:r>
        <w:rPr>
          <w:rFonts w:hint="eastAsia" w:ascii="宋体" w:hAnsi="宋体"/>
          <w:sz w:val="24"/>
          <w:szCs w:val="24"/>
        </w:rPr>
        <w:t>CATIA软件许可增购项目</w:t>
      </w:r>
    </w:p>
    <w:p w14:paraId="7A2383D6">
      <w:pPr>
        <w:spacing w:line="360" w:lineRule="auto"/>
        <w:rPr>
          <w:rFonts w:ascii="宋体" w:hAnsi="宋体"/>
          <w:sz w:val="24"/>
        </w:rPr>
      </w:pPr>
      <w:r>
        <w:rPr>
          <w:rFonts w:hint="eastAsia" w:ascii="宋体" w:hAnsi="宋体"/>
          <w:sz w:val="24"/>
          <w:u w:val="single"/>
        </w:rPr>
        <w:t xml:space="preserve">               </w:t>
      </w:r>
    </w:p>
    <w:p w14:paraId="5AA464CD">
      <w:pPr>
        <w:spacing w:line="360" w:lineRule="auto"/>
        <w:rPr>
          <w:rFonts w:ascii="宋体" w:hAnsi="宋体"/>
          <w:b/>
          <w:bCs/>
          <w:sz w:val="24"/>
        </w:rPr>
      </w:pPr>
      <w:r>
        <w:rPr>
          <w:rFonts w:hint="eastAsia" w:ascii="宋体" w:hAnsi="宋体"/>
          <w:b/>
          <w:bCs/>
          <w:sz w:val="24"/>
        </w:rPr>
        <w:t>中国重汽集团济南动力有限公司：</w:t>
      </w:r>
    </w:p>
    <w:p w14:paraId="1A9453C8">
      <w:pPr>
        <w:spacing w:line="360" w:lineRule="auto"/>
        <w:ind w:firstLine="480"/>
        <w:rPr>
          <w:rFonts w:ascii="宋体" w:hAnsi="宋体"/>
          <w:sz w:val="24"/>
        </w:rPr>
      </w:pPr>
      <w:r>
        <w:rPr>
          <w:rFonts w:hint="eastAsia" w:ascii="宋体" w:hAnsi="宋体"/>
          <w:sz w:val="24"/>
        </w:rPr>
        <w:t>我代表（投标单位名称）对中标合同的服务作如下承诺：</w:t>
      </w:r>
    </w:p>
    <w:p w14:paraId="2BEF0EE1">
      <w:pPr>
        <w:spacing w:line="360" w:lineRule="auto"/>
        <w:ind w:firstLine="480" w:firstLineChars="200"/>
        <w:rPr>
          <w:rFonts w:ascii="宋体" w:hAnsi="宋体"/>
          <w:sz w:val="24"/>
          <w:u w:val="single"/>
        </w:rPr>
      </w:pPr>
      <w:r>
        <w:rPr>
          <w:rFonts w:hint="eastAsia" w:ascii="宋体" w:hAnsi="宋体"/>
          <w:sz w:val="24"/>
          <w:u w:val="single"/>
        </w:rPr>
        <w:t xml:space="preserve">                                                                       </w:t>
      </w:r>
    </w:p>
    <w:p w14:paraId="66D26B68">
      <w:pPr>
        <w:spacing w:line="360" w:lineRule="auto"/>
        <w:ind w:firstLine="480" w:firstLineChars="200"/>
        <w:rPr>
          <w:rFonts w:ascii="宋体" w:hAnsi="宋体"/>
          <w:sz w:val="24"/>
          <w:u w:val="single"/>
        </w:rPr>
      </w:pPr>
      <w:r>
        <w:rPr>
          <w:rFonts w:hint="eastAsia" w:ascii="宋体" w:hAnsi="宋体"/>
          <w:sz w:val="24"/>
          <w:u w:val="single"/>
        </w:rPr>
        <w:t xml:space="preserve">                                                                       </w:t>
      </w:r>
    </w:p>
    <w:p w14:paraId="15BFD014">
      <w:pPr>
        <w:spacing w:line="360" w:lineRule="auto"/>
        <w:ind w:firstLine="480" w:firstLineChars="200"/>
        <w:rPr>
          <w:rFonts w:ascii="宋体" w:hAnsi="宋体"/>
          <w:sz w:val="24"/>
          <w:u w:val="single"/>
        </w:rPr>
      </w:pPr>
      <w:r>
        <w:rPr>
          <w:rFonts w:hint="eastAsia" w:ascii="宋体" w:hAnsi="宋体"/>
          <w:sz w:val="24"/>
          <w:u w:val="single"/>
        </w:rPr>
        <w:t xml:space="preserve">                                                                       </w:t>
      </w:r>
    </w:p>
    <w:p w14:paraId="034C2FE0">
      <w:pPr>
        <w:spacing w:line="360" w:lineRule="auto"/>
        <w:ind w:firstLine="480" w:firstLineChars="200"/>
        <w:rPr>
          <w:rFonts w:ascii="宋体" w:hAnsi="宋体"/>
          <w:sz w:val="24"/>
          <w:u w:val="single"/>
        </w:rPr>
      </w:pPr>
      <w:r>
        <w:rPr>
          <w:rFonts w:hint="eastAsia" w:ascii="宋体" w:hAnsi="宋体"/>
          <w:sz w:val="24"/>
          <w:u w:val="single"/>
        </w:rPr>
        <w:t xml:space="preserve">                                                                       </w:t>
      </w:r>
    </w:p>
    <w:p w14:paraId="03E636D3">
      <w:pPr>
        <w:spacing w:line="360" w:lineRule="auto"/>
        <w:ind w:firstLine="480" w:firstLineChars="200"/>
        <w:rPr>
          <w:rFonts w:ascii="宋体" w:hAnsi="宋体"/>
          <w:sz w:val="24"/>
          <w:u w:val="single"/>
        </w:rPr>
      </w:pPr>
      <w:r>
        <w:rPr>
          <w:rFonts w:hint="eastAsia" w:ascii="宋体" w:hAnsi="宋体"/>
          <w:sz w:val="24"/>
          <w:u w:val="single"/>
        </w:rPr>
        <w:t xml:space="preserve">                                                                       </w:t>
      </w:r>
    </w:p>
    <w:p w14:paraId="1510EBB5">
      <w:pPr>
        <w:spacing w:line="360" w:lineRule="auto"/>
        <w:ind w:firstLine="480" w:firstLineChars="200"/>
        <w:rPr>
          <w:rFonts w:ascii="宋体" w:hAnsi="宋体"/>
          <w:sz w:val="24"/>
          <w:u w:val="single"/>
        </w:rPr>
      </w:pPr>
      <w:r>
        <w:rPr>
          <w:rFonts w:hint="eastAsia" w:ascii="宋体" w:hAnsi="宋体"/>
          <w:sz w:val="24"/>
          <w:u w:val="single"/>
        </w:rPr>
        <w:t xml:space="preserve">                                                                       </w:t>
      </w:r>
    </w:p>
    <w:p w14:paraId="136767E5">
      <w:pPr>
        <w:spacing w:line="360" w:lineRule="auto"/>
        <w:ind w:firstLine="480" w:firstLineChars="200"/>
        <w:rPr>
          <w:rFonts w:ascii="宋体" w:hAnsi="宋体"/>
          <w:sz w:val="24"/>
          <w:u w:val="single"/>
        </w:rPr>
      </w:pPr>
      <w:r>
        <w:rPr>
          <w:rFonts w:hint="eastAsia" w:ascii="宋体" w:hAnsi="宋体"/>
          <w:sz w:val="24"/>
          <w:u w:val="single"/>
        </w:rPr>
        <w:t xml:space="preserve">                                                                       </w:t>
      </w:r>
    </w:p>
    <w:p w14:paraId="4F0A4619">
      <w:pPr>
        <w:spacing w:line="360" w:lineRule="auto"/>
        <w:ind w:firstLine="480" w:firstLineChars="200"/>
        <w:rPr>
          <w:rFonts w:ascii="宋体" w:hAnsi="宋体"/>
          <w:sz w:val="24"/>
          <w:u w:val="single"/>
        </w:rPr>
      </w:pPr>
      <w:r>
        <w:rPr>
          <w:rFonts w:hint="eastAsia" w:ascii="宋体" w:hAnsi="宋体"/>
          <w:sz w:val="24"/>
          <w:u w:val="single"/>
        </w:rPr>
        <w:t xml:space="preserve">                                                                       </w:t>
      </w:r>
    </w:p>
    <w:p w14:paraId="6CC7242F">
      <w:pPr>
        <w:spacing w:line="360" w:lineRule="auto"/>
        <w:ind w:firstLine="480" w:firstLineChars="200"/>
        <w:rPr>
          <w:rFonts w:ascii="宋体" w:hAnsi="宋体"/>
          <w:sz w:val="24"/>
          <w:u w:val="single"/>
        </w:rPr>
      </w:pPr>
      <w:r>
        <w:rPr>
          <w:rFonts w:hint="eastAsia" w:ascii="宋体" w:hAnsi="宋体"/>
          <w:sz w:val="24"/>
          <w:u w:val="single"/>
        </w:rPr>
        <w:t xml:space="preserve">                                                                       </w:t>
      </w:r>
    </w:p>
    <w:p w14:paraId="32671C29">
      <w:pPr>
        <w:spacing w:line="360" w:lineRule="auto"/>
        <w:ind w:firstLine="480" w:firstLineChars="200"/>
        <w:rPr>
          <w:rFonts w:ascii="宋体" w:hAnsi="宋体"/>
          <w:sz w:val="24"/>
          <w:u w:val="single"/>
        </w:rPr>
      </w:pPr>
      <w:r>
        <w:rPr>
          <w:rFonts w:hint="eastAsia" w:ascii="宋体" w:hAnsi="宋体"/>
          <w:sz w:val="24"/>
          <w:u w:val="single"/>
        </w:rPr>
        <w:t xml:space="preserve">                                                                       </w:t>
      </w:r>
    </w:p>
    <w:p w14:paraId="29FAA075">
      <w:pPr>
        <w:spacing w:line="360" w:lineRule="auto"/>
        <w:ind w:firstLine="480" w:firstLineChars="200"/>
        <w:rPr>
          <w:rFonts w:ascii="宋体" w:hAnsi="宋体"/>
          <w:sz w:val="24"/>
          <w:u w:val="single"/>
        </w:rPr>
      </w:pPr>
      <w:r>
        <w:rPr>
          <w:rFonts w:hint="eastAsia" w:ascii="宋体" w:hAnsi="宋体"/>
          <w:sz w:val="24"/>
          <w:u w:val="single"/>
        </w:rPr>
        <w:t xml:space="preserve">                                                                       </w:t>
      </w:r>
    </w:p>
    <w:p w14:paraId="185DEA4F">
      <w:pPr>
        <w:spacing w:line="360" w:lineRule="auto"/>
        <w:ind w:firstLine="480" w:firstLineChars="200"/>
        <w:rPr>
          <w:rFonts w:ascii="宋体" w:hAnsi="宋体"/>
          <w:sz w:val="24"/>
          <w:u w:val="single"/>
        </w:rPr>
      </w:pPr>
      <w:r>
        <w:rPr>
          <w:rFonts w:hint="eastAsia" w:ascii="宋体" w:hAnsi="宋体"/>
          <w:sz w:val="24"/>
          <w:u w:val="single"/>
        </w:rPr>
        <w:t xml:space="preserve">                                                                       </w:t>
      </w:r>
    </w:p>
    <w:p w14:paraId="14C129FE">
      <w:pPr>
        <w:spacing w:line="360" w:lineRule="auto"/>
        <w:ind w:firstLine="480" w:firstLineChars="200"/>
        <w:rPr>
          <w:rFonts w:ascii="宋体" w:hAnsi="宋体"/>
          <w:sz w:val="24"/>
          <w:u w:val="single"/>
        </w:rPr>
      </w:pPr>
      <w:r>
        <w:rPr>
          <w:rFonts w:hint="eastAsia" w:ascii="宋体" w:hAnsi="宋体"/>
          <w:sz w:val="24"/>
          <w:u w:val="single"/>
        </w:rPr>
        <w:t xml:space="preserve">                                                                       </w:t>
      </w:r>
    </w:p>
    <w:p w14:paraId="7EDAF0B2">
      <w:pPr>
        <w:spacing w:line="360" w:lineRule="auto"/>
        <w:ind w:firstLine="480" w:firstLineChars="200"/>
        <w:rPr>
          <w:rFonts w:ascii="宋体" w:hAnsi="宋体"/>
          <w:sz w:val="24"/>
          <w:u w:val="single"/>
        </w:rPr>
      </w:pPr>
      <w:r>
        <w:rPr>
          <w:rFonts w:hint="eastAsia" w:ascii="宋体" w:hAnsi="宋体"/>
          <w:sz w:val="24"/>
          <w:u w:val="single"/>
        </w:rPr>
        <w:t xml:space="preserve">                                                                       </w:t>
      </w:r>
    </w:p>
    <w:p w14:paraId="00E8ECCC">
      <w:pPr>
        <w:spacing w:line="360" w:lineRule="auto"/>
        <w:ind w:firstLine="480" w:firstLineChars="200"/>
        <w:rPr>
          <w:rFonts w:ascii="宋体" w:hAnsi="宋体"/>
          <w:sz w:val="24"/>
          <w:u w:val="single"/>
        </w:rPr>
      </w:pPr>
      <w:r>
        <w:rPr>
          <w:rFonts w:hint="eastAsia" w:ascii="宋体" w:hAnsi="宋体"/>
          <w:sz w:val="24"/>
          <w:u w:val="single"/>
        </w:rPr>
        <w:t xml:space="preserve">                                                                       </w:t>
      </w:r>
    </w:p>
    <w:p w14:paraId="02C45D9F">
      <w:pPr>
        <w:spacing w:line="360" w:lineRule="auto"/>
        <w:ind w:firstLine="480" w:firstLineChars="200"/>
        <w:rPr>
          <w:rFonts w:ascii="宋体" w:hAnsi="宋体"/>
          <w:sz w:val="24"/>
          <w:u w:val="single"/>
        </w:rPr>
      </w:pPr>
      <w:r>
        <w:rPr>
          <w:rFonts w:hint="eastAsia" w:ascii="宋体" w:hAnsi="宋体"/>
          <w:sz w:val="24"/>
          <w:u w:val="single"/>
        </w:rPr>
        <w:t xml:space="preserve">                                                                       </w:t>
      </w:r>
    </w:p>
    <w:p w14:paraId="32C54940">
      <w:pPr>
        <w:spacing w:line="360" w:lineRule="auto"/>
        <w:ind w:firstLine="480" w:firstLineChars="200"/>
        <w:rPr>
          <w:rFonts w:ascii="宋体" w:hAnsi="宋体"/>
          <w:sz w:val="24"/>
          <w:u w:val="single"/>
        </w:rPr>
      </w:pPr>
      <w:r>
        <w:rPr>
          <w:rFonts w:hint="eastAsia" w:ascii="宋体" w:hAnsi="宋体"/>
          <w:sz w:val="24"/>
          <w:u w:val="single"/>
        </w:rPr>
        <w:t xml:space="preserve">                                                                       </w:t>
      </w:r>
    </w:p>
    <w:p w14:paraId="4BC68B22">
      <w:pPr>
        <w:spacing w:line="360" w:lineRule="auto"/>
        <w:ind w:firstLine="480" w:firstLineChars="200"/>
        <w:rPr>
          <w:rFonts w:ascii="宋体" w:hAnsi="宋体"/>
          <w:sz w:val="24"/>
          <w:u w:val="single"/>
        </w:rPr>
      </w:pPr>
    </w:p>
    <w:p w14:paraId="53B37BA2">
      <w:pPr>
        <w:pStyle w:val="112"/>
        <w:ind w:firstLine="480"/>
      </w:pPr>
      <w:r>
        <w:rPr>
          <w:rFonts w:hint="eastAsia"/>
        </w:rPr>
        <w:t>投标人：（盖章）</w:t>
      </w:r>
    </w:p>
    <w:p w14:paraId="7BFBF2DD">
      <w:pPr>
        <w:pStyle w:val="112"/>
        <w:ind w:firstLine="480"/>
      </w:pPr>
      <w:r>
        <w:rPr>
          <w:rFonts w:hint="eastAsia"/>
        </w:rPr>
        <w:t>法定代表人（委托代理人）：（签字）</w:t>
      </w:r>
    </w:p>
    <w:p w14:paraId="0D1572C8">
      <w:pPr>
        <w:pStyle w:val="112"/>
        <w:ind w:firstLine="480"/>
      </w:pPr>
      <w:r>
        <w:rPr>
          <w:rFonts w:hint="eastAsia"/>
        </w:rPr>
        <w:t>日  期：       年    月    日</w:t>
      </w:r>
    </w:p>
    <w:p w14:paraId="189B92F8">
      <w:pPr>
        <w:rPr>
          <w:rFonts w:ascii="宋体" w:hAnsi="宋体" w:cs="宋体"/>
          <w:b/>
          <w:bCs/>
          <w:color w:val="000000"/>
          <w:sz w:val="28"/>
        </w:rPr>
        <w:sectPr>
          <w:pgSz w:w="11906" w:h="16838"/>
          <w:pgMar w:top="1588" w:right="1418" w:bottom="1134" w:left="1418" w:header="851" w:footer="992" w:gutter="0"/>
          <w:cols w:space="720" w:num="1"/>
          <w:titlePg/>
          <w:docGrid w:type="lines" w:linePitch="312" w:charSpace="0"/>
        </w:sectPr>
      </w:pPr>
      <w:bookmarkStart w:id="36" w:name="_Toc9193"/>
      <w:bookmarkStart w:id="37" w:name="_Toc353881022"/>
      <w:bookmarkStart w:id="38" w:name="_Toc639013"/>
    </w:p>
    <w:bookmarkEnd w:id="36"/>
    <w:bookmarkEnd w:id="37"/>
    <w:bookmarkEnd w:id="38"/>
    <w:p w14:paraId="587F50E4">
      <w:pPr>
        <w:pStyle w:val="118"/>
      </w:pPr>
      <w:r>
        <w:rPr>
          <w:rFonts w:hint="eastAsia"/>
        </w:rPr>
        <w:t>附件8 商务条款偏离表</w:t>
      </w:r>
    </w:p>
    <w:p w14:paraId="46F9E54F"/>
    <w:tbl>
      <w:tblPr>
        <w:tblStyle w:val="31"/>
        <w:tblW w:w="4998"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652"/>
        <w:gridCol w:w="3163"/>
        <w:gridCol w:w="2598"/>
        <w:gridCol w:w="1643"/>
      </w:tblGrid>
      <w:tr w14:paraId="593CDA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2" w:type="pct"/>
            <w:tcBorders>
              <w:top w:val="single" w:color="auto" w:sz="4" w:space="0"/>
              <w:left w:val="single" w:color="auto" w:sz="4" w:space="0"/>
              <w:bottom w:val="single" w:color="auto" w:sz="4" w:space="0"/>
              <w:right w:val="single" w:color="auto" w:sz="4" w:space="0"/>
            </w:tcBorders>
            <w:vAlign w:val="center"/>
          </w:tcPr>
          <w:p w14:paraId="2AB6BBF2">
            <w:pPr>
              <w:pStyle w:val="116"/>
            </w:pPr>
            <w:r>
              <w:rPr>
                <w:rFonts w:hint="eastAsia"/>
              </w:rPr>
              <w:t>项目</w:t>
            </w:r>
          </w:p>
        </w:tc>
        <w:tc>
          <w:tcPr>
            <w:tcW w:w="1746" w:type="pct"/>
            <w:tcBorders>
              <w:top w:val="single" w:color="auto" w:sz="4" w:space="0"/>
              <w:left w:val="single" w:color="auto" w:sz="4" w:space="0"/>
              <w:bottom w:val="single" w:color="auto" w:sz="4" w:space="0"/>
              <w:right w:val="single" w:color="auto" w:sz="4" w:space="0"/>
            </w:tcBorders>
            <w:vAlign w:val="center"/>
          </w:tcPr>
          <w:p w14:paraId="1506DF6E">
            <w:pPr>
              <w:pStyle w:val="116"/>
            </w:pPr>
            <w:r>
              <w:rPr>
                <w:rFonts w:hint="eastAsia"/>
              </w:rPr>
              <w:t>招标文件要求</w:t>
            </w:r>
          </w:p>
        </w:tc>
        <w:tc>
          <w:tcPr>
            <w:tcW w:w="1434" w:type="pct"/>
            <w:tcBorders>
              <w:top w:val="single" w:color="auto" w:sz="4" w:space="0"/>
              <w:left w:val="single" w:color="auto" w:sz="4" w:space="0"/>
              <w:bottom w:val="single" w:color="auto" w:sz="4" w:space="0"/>
              <w:right w:val="single" w:color="auto" w:sz="4" w:space="0"/>
            </w:tcBorders>
            <w:vAlign w:val="center"/>
          </w:tcPr>
          <w:p w14:paraId="30089F33">
            <w:pPr>
              <w:pStyle w:val="116"/>
            </w:pPr>
            <w:r>
              <w:rPr>
                <w:rFonts w:hint="eastAsia"/>
              </w:rPr>
              <w:t>响应规格</w:t>
            </w:r>
          </w:p>
        </w:tc>
        <w:tc>
          <w:tcPr>
            <w:tcW w:w="907" w:type="pct"/>
            <w:tcBorders>
              <w:top w:val="single" w:color="auto" w:sz="4" w:space="0"/>
              <w:left w:val="single" w:color="auto" w:sz="4" w:space="0"/>
              <w:bottom w:val="single" w:color="auto" w:sz="4" w:space="0"/>
              <w:right w:val="single" w:color="auto" w:sz="4" w:space="0"/>
            </w:tcBorders>
            <w:vAlign w:val="center"/>
          </w:tcPr>
          <w:p w14:paraId="06BFE3A9">
            <w:pPr>
              <w:pStyle w:val="116"/>
            </w:pPr>
            <w:r>
              <w:rPr>
                <w:rFonts w:hint="eastAsia"/>
              </w:rPr>
              <w:t>是否偏离</w:t>
            </w:r>
          </w:p>
          <w:p w14:paraId="5EE68F4C">
            <w:pPr>
              <w:pStyle w:val="116"/>
            </w:pPr>
            <w:r>
              <w:rPr>
                <w:rFonts w:hint="eastAsia"/>
              </w:rPr>
              <w:t>（提供说明）</w:t>
            </w:r>
          </w:p>
        </w:tc>
      </w:tr>
      <w:tr w14:paraId="55652E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2" w:type="pct"/>
            <w:tcBorders>
              <w:top w:val="single" w:color="auto" w:sz="4" w:space="0"/>
              <w:left w:val="single" w:color="auto" w:sz="4" w:space="0"/>
              <w:bottom w:val="single" w:color="auto" w:sz="4" w:space="0"/>
              <w:right w:val="single" w:color="auto" w:sz="4" w:space="0"/>
            </w:tcBorders>
            <w:vAlign w:val="center"/>
          </w:tcPr>
          <w:p w14:paraId="0EEB93AC">
            <w:pPr>
              <w:pStyle w:val="116"/>
            </w:pPr>
            <w:r>
              <w:rPr>
                <w:rFonts w:hint="eastAsia"/>
              </w:rPr>
              <w:t>质保期</w:t>
            </w:r>
          </w:p>
        </w:tc>
        <w:tc>
          <w:tcPr>
            <w:tcW w:w="1746" w:type="pct"/>
            <w:tcBorders>
              <w:top w:val="single" w:color="auto" w:sz="4" w:space="0"/>
              <w:left w:val="single" w:color="auto" w:sz="4" w:space="0"/>
              <w:bottom w:val="single" w:color="auto" w:sz="4" w:space="0"/>
              <w:right w:val="single" w:color="auto" w:sz="4" w:space="0"/>
            </w:tcBorders>
            <w:vAlign w:val="center"/>
          </w:tcPr>
          <w:p w14:paraId="6B12A3F9">
            <w:pPr>
              <w:pStyle w:val="116"/>
            </w:pPr>
            <w:r>
              <w:rPr>
                <w:rFonts w:hint="eastAsia"/>
              </w:rPr>
              <w:t>1</w:t>
            </w:r>
            <w:r>
              <w:t>2</w:t>
            </w:r>
            <w:r>
              <w:rPr>
                <w:rFonts w:hint="eastAsia"/>
              </w:rPr>
              <w:t>个月</w:t>
            </w:r>
          </w:p>
        </w:tc>
        <w:tc>
          <w:tcPr>
            <w:tcW w:w="1434" w:type="pct"/>
            <w:tcBorders>
              <w:top w:val="single" w:color="auto" w:sz="4" w:space="0"/>
              <w:left w:val="single" w:color="auto" w:sz="4" w:space="0"/>
              <w:bottom w:val="single" w:color="auto" w:sz="4" w:space="0"/>
              <w:right w:val="single" w:color="auto" w:sz="4" w:space="0"/>
            </w:tcBorders>
            <w:vAlign w:val="center"/>
          </w:tcPr>
          <w:p w14:paraId="59EDE927">
            <w:pPr>
              <w:pStyle w:val="116"/>
            </w:pPr>
          </w:p>
        </w:tc>
        <w:tc>
          <w:tcPr>
            <w:tcW w:w="907" w:type="pct"/>
            <w:tcBorders>
              <w:top w:val="single" w:color="auto" w:sz="4" w:space="0"/>
              <w:left w:val="single" w:color="auto" w:sz="4" w:space="0"/>
              <w:bottom w:val="single" w:color="auto" w:sz="4" w:space="0"/>
              <w:right w:val="single" w:color="auto" w:sz="4" w:space="0"/>
            </w:tcBorders>
            <w:vAlign w:val="center"/>
          </w:tcPr>
          <w:p w14:paraId="7F096C23">
            <w:pPr>
              <w:pStyle w:val="116"/>
            </w:pPr>
          </w:p>
        </w:tc>
      </w:tr>
      <w:tr w14:paraId="6F4EAA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2" w:type="pct"/>
            <w:tcBorders>
              <w:top w:val="single" w:color="auto" w:sz="4" w:space="0"/>
              <w:left w:val="single" w:color="auto" w:sz="4" w:space="0"/>
              <w:bottom w:val="single" w:color="auto" w:sz="4" w:space="0"/>
              <w:right w:val="single" w:color="auto" w:sz="4" w:space="0"/>
            </w:tcBorders>
            <w:vAlign w:val="center"/>
          </w:tcPr>
          <w:p w14:paraId="6E626B21">
            <w:pPr>
              <w:pStyle w:val="116"/>
            </w:pPr>
            <w:r>
              <w:rPr>
                <w:rFonts w:hint="eastAsia"/>
              </w:rPr>
              <w:t>交货时间及地点</w:t>
            </w:r>
          </w:p>
        </w:tc>
        <w:tc>
          <w:tcPr>
            <w:tcW w:w="1746" w:type="pct"/>
            <w:tcBorders>
              <w:top w:val="single" w:color="auto" w:sz="4" w:space="0"/>
              <w:left w:val="single" w:color="auto" w:sz="4" w:space="0"/>
              <w:bottom w:val="single" w:color="auto" w:sz="4" w:space="0"/>
              <w:right w:val="single" w:color="auto" w:sz="4" w:space="0"/>
            </w:tcBorders>
            <w:vAlign w:val="center"/>
          </w:tcPr>
          <w:p w14:paraId="103B5C60">
            <w:pPr>
              <w:pStyle w:val="116"/>
            </w:pPr>
            <w:r>
              <w:rPr>
                <w:rFonts w:hint="eastAsia"/>
              </w:rPr>
              <w:t>交货时间：自合同签定生效之日起，10个日历日之内交付软件正式许可；接续60个日历日之内培训完毕。</w:t>
            </w:r>
          </w:p>
          <w:p w14:paraId="5F0F31F8">
            <w:pPr>
              <w:pStyle w:val="116"/>
            </w:pPr>
            <w:r>
              <w:rPr>
                <w:rFonts w:hint="eastAsia"/>
              </w:rPr>
              <w:t>地点：济南市高新区华奥路</w:t>
            </w:r>
            <w:r>
              <w:t>777号中国重汽</w:t>
            </w:r>
            <w:r>
              <w:rPr>
                <w:rFonts w:hint="eastAsia"/>
              </w:rPr>
              <w:t>未来</w:t>
            </w:r>
            <w:r>
              <w:t>科技大厦</w:t>
            </w:r>
            <w:r>
              <w:rPr>
                <w:rFonts w:hint="eastAsia"/>
              </w:rPr>
              <w:t>。</w:t>
            </w:r>
          </w:p>
        </w:tc>
        <w:tc>
          <w:tcPr>
            <w:tcW w:w="1434" w:type="pct"/>
            <w:tcBorders>
              <w:top w:val="single" w:color="auto" w:sz="4" w:space="0"/>
              <w:left w:val="single" w:color="auto" w:sz="4" w:space="0"/>
              <w:bottom w:val="single" w:color="auto" w:sz="4" w:space="0"/>
              <w:right w:val="single" w:color="auto" w:sz="4" w:space="0"/>
            </w:tcBorders>
            <w:vAlign w:val="center"/>
          </w:tcPr>
          <w:p w14:paraId="750A240B">
            <w:pPr>
              <w:pStyle w:val="116"/>
            </w:pPr>
          </w:p>
        </w:tc>
        <w:tc>
          <w:tcPr>
            <w:tcW w:w="907" w:type="pct"/>
            <w:tcBorders>
              <w:top w:val="single" w:color="auto" w:sz="4" w:space="0"/>
              <w:left w:val="single" w:color="auto" w:sz="4" w:space="0"/>
              <w:bottom w:val="single" w:color="auto" w:sz="4" w:space="0"/>
              <w:right w:val="single" w:color="auto" w:sz="4" w:space="0"/>
            </w:tcBorders>
            <w:vAlign w:val="center"/>
          </w:tcPr>
          <w:p w14:paraId="720580C7">
            <w:pPr>
              <w:pStyle w:val="116"/>
            </w:pPr>
          </w:p>
        </w:tc>
      </w:tr>
      <w:tr w14:paraId="7B4BCF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2" w:type="pct"/>
            <w:tcBorders>
              <w:top w:val="single" w:color="auto" w:sz="4" w:space="0"/>
              <w:left w:val="single" w:color="auto" w:sz="4" w:space="0"/>
              <w:bottom w:val="single" w:color="auto" w:sz="4" w:space="0"/>
              <w:right w:val="single" w:color="auto" w:sz="4" w:space="0"/>
            </w:tcBorders>
            <w:vAlign w:val="center"/>
          </w:tcPr>
          <w:p w14:paraId="14331950">
            <w:pPr>
              <w:pStyle w:val="116"/>
            </w:pPr>
            <w:r>
              <w:rPr>
                <w:rFonts w:hint="eastAsia"/>
              </w:rPr>
              <w:t>付款条件</w:t>
            </w:r>
          </w:p>
        </w:tc>
        <w:tc>
          <w:tcPr>
            <w:tcW w:w="1746" w:type="pct"/>
            <w:tcBorders>
              <w:top w:val="single" w:color="auto" w:sz="4" w:space="0"/>
              <w:left w:val="single" w:color="auto" w:sz="4" w:space="0"/>
              <w:bottom w:val="single" w:color="auto" w:sz="4" w:space="0"/>
              <w:right w:val="single" w:color="auto" w:sz="4" w:space="0"/>
            </w:tcBorders>
          </w:tcPr>
          <w:p w14:paraId="02161FFD">
            <w:pPr>
              <w:pStyle w:val="116"/>
            </w:pPr>
            <w:r>
              <w:rPr>
                <w:rFonts w:hint="eastAsia"/>
              </w:rPr>
              <w:t>付款方式为半年期商业汇票（包括银行承兑汇票）。买卖双方共同签署终验收报告，并移交、核对全部供货范围内物品</w:t>
            </w:r>
          </w:p>
        </w:tc>
        <w:tc>
          <w:tcPr>
            <w:tcW w:w="1434" w:type="pct"/>
            <w:tcBorders>
              <w:top w:val="single" w:color="auto" w:sz="4" w:space="0"/>
              <w:left w:val="single" w:color="auto" w:sz="4" w:space="0"/>
              <w:bottom w:val="single" w:color="auto" w:sz="4" w:space="0"/>
              <w:right w:val="single" w:color="auto" w:sz="4" w:space="0"/>
            </w:tcBorders>
          </w:tcPr>
          <w:p w14:paraId="571956ED">
            <w:pPr>
              <w:pStyle w:val="116"/>
            </w:pPr>
          </w:p>
        </w:tc>
        <w:tc>
          <w:tcPr>
            <w:tcW w:w="907" w:type="pct"/>
            <w:tcBorders>
              <w:top w:val="single" w:color="auto" w:sz="4" w:space="0"/>
              <w:left w:val="single" w:color="auto" w:sz="4" w:space="0"/>
              <w:bottom w:val="single" w:color="auto" w:sz="4" w:space="0"/>
              <w:right w:val="single" w:color="auto" w:sz="4" w:space="0"/>
            </w:tcBorders>
            <w:vAlign w:val="center"/>
          </w:tcPr>
          <w:p w14:paraId="02D48179">
            <w:pPr>
              <w:pStyle w:val="116"/>
            </w:pPr>
          </w:p>
        </w:tc>
      </w:tr>
      <w:tr w14:paraId="4BAC85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2" w:type="pct"/>
            <w:tcBorders>
              <w:top w:val="single" w:color="auto" w:sz="4" w:space="0"/>
              <w:left w:val="single" w:color="auto" w:sz="4" w:space="0"/>
              <w:bottom w:val="single" w:color="auto" w:sz="4" w:space="0"/>
              <w:right w:val="single" w:color="auto" w:sz="4" w:space="0"/>
            </w:tcBorders>
            <w:vAlign w:val="center"/>
          </w:tcPr>
          <w:p w14:paraId="7B27D388">
            <w:pPr>
              <w:pStyle w:val="116"/>
            </w:pPr>
            <w:r>
              <w:rPr>
                <w:rFonts w:hint="eastAsia"/>
              </w:rPr>
              <w:t>售后技术服务要求</w:t>
            </w:r>
          </w:p>
        </w:tc>
        <w:tc>
          <w:tcPr>
            <w:tcW w:w="1746" w:type="pct"/>
            <w:tcBorders>
              <w:top w:val="single" w:color="auto" w:sz="4" w:space="0"/>
              <w:left w:val="single" w:color="auto" w:sz="4" w:space="0"/>
              <w:bottom w:val="single" w:color="auto" w:sz="4" w:space="0"/>
              <w:right w:val="single" w:color="auto" w:sz="4" w:space="0"/>
            </w:tcBorders>
            <w:vAlign w:val="center"/>
          </w:tcPr>
          <w:p w14:paraId="2811725E">
            <w:pPr>
              <w:pStyle w:val="116"/>
            </w:pPr>
            <w:r>
              <w:rPr>
                <w:rFonts w:hint="eastAsia"/>
              </w:rPr>
              <w:t>1</w:t>
            </w:r>
            <w:r>
              <w:t>.</w:t>
            </w:r>
            <w:r>
              <w:rPr>
                <w:rFonts w:hint="eastAsia"/>
              </w:rPr>
              <w:t>卖方提供的软件涉及的所有售后服务均由卖方负责。如果发生问题并且收到通知，卖方应当在</w:t>
            </w:r>
            <w:r>
              <w:t>2小时内予以答复。</w:t>
            </w:r>
          </w:p>
          <w:p w14:paraId="154117B9">
            <w:pPr>
              <w:pStyle w:val="116"/>
            </w:pPr>
            <w:r>
              <w:t xml:space="preserve">2、如发现所提供的软件存在问题，需要卖方解决或配合解决时：在质保期之内，应在接到通知后 </w:t>
            </w:r>
            <w:r>
              <w:rPr>
                <w:rFonts w:hint="eastAsia"/>
              </w:rPr>
              <w:t>48</w:t>
            </w:r>
            <w:r>
              <w:t>小时内派有关人员到达现场；在质保期之外，应在接到通知后  168 小时内派有关人员到达现场。</w:t>
            </w:r>
          </w:p>
          <w:p w14:paraId="361CD2F7">
            <w:pPr>
              <w:pStyle w:val="116"/>
            </w:pPr>
            <w:r>
              <w:t>3、卖方派往买方使用现场的人员，应具有较高的业务素质；现场解决问题时，不得无故拖延或推迟，应为买方提供最佳的服务。</w:t>
            </w:r>
          </w:p>
        </w:tc>
        <w:tc>
          <w:tcPr>
            <w:tcW w:w="1434" w:type="pct"/>
            <w:tcBorders>
              <w:top w:val="single" w:color="auto" w:sz="4" w:space="0"/>
              <w:left w:val="single" w:color="auto" w:sz="4" w:space="0"/>
              <w:bottom w:val="single" w:color="auto" w:sz="4" w:space="0"/>
              <w:right w:val="single" w:color="auto" w:sz="4" w:space="0"/>
            </w:tcBorders>
            <w:vAlign w:val="center"/>
          </w:tcPr>
          <w:p w14:paraId="10EB81D0">
            <w:pPr>
              <w:pStyle w:val="116"/>
            </w:pPr>
          </w:p>
        </w:tc>
        <w:tc>
          <w:tcPr>
            <w:tcW w:w="907" w:type="pct"/>
            <w:tcBorders>
              <w:top w:val="single" w:color="auto" w:sz="4" w:space="0"/>
              <w:left w:val="single" w:color="auto" w:sz="4" w:space="0"/>
              <w:bottom w:val="single" w:color="auto" w:sz="4" w:space="0"/>
              <w:right w:val="single" w:color="auto" w:sz="4" w:space="0"/>
            </w:tcBorders>
            <w:vAlign w:val="center"/>
          </w:tcPr>
          <w:p w14:paraId="75C11794">
            <w:pPr>
              <w:pStyle w:val="116"/>
            </w:pPr>
          </w:p>
          <w:p w14:paraId="4A309F0C">
            <w:pPr>
              <w:pStyle w:val="116"/>
            </w:pPr>
          </w:p>
          <w:p w14:paraId="3D3DB0F7">
            <w:pPr>
              <w:pStyle w:val="116"/>
            </w:pPr>
          </w:p>
          <w:p w14:paraId="51B08D71">
            <w:pPr>
              <w:pStyle w:val="116"/>
            </w:pPr>
          </w:p>
          <w:p w14:paraId="5689169E">
            <w:pPr>
              <w:pStyle w:val="116"/>
            </w:pPr>
          </w:p>
          <w:p w14:paraId="08E38BE3">
            <w:pPr>
              <w:pStyle w:val="116"/>
            </w:pPr>
          </w:p>
          <w:p w14:paraId="28B40AC8">
            <w:pPr>
              <w:pStyle w:val="116"/>
            </w:pPr>
          </w:p>
          <w:p w14:paraId="4F690E1B">
            <w:pPr>
              <w:pStyle w:val="116"/>
            </w:pPr>
          </w:p>
          <w:p w14:paraId="395A7149">
            <w:pPr>
              <w:pStyle w:val="116"/>
            </w:pPr>
          </w:p>
          <w:p w14:paraId="46409E43">
            <w:pPr>
              <w:pStyle w:val="116"/>
            </w:pPr>
          </w:p>
          <w:p w14:paraId="56BC1503">
            <w:pPr>
              <w:pStyle w:val="116"/>
            </w:pPr>
          </w:p>
          <w:p w14:paraId="5A4F4D3B">
            <w:pPr>
              <w:pStyle w:val="116"/>
            </w:pPr>
          </w:p>
          <w:p w14:paraId="5E920C8B">
            <w:pPr>
              <w:pStyle w:val="116"/>
            </w:pPr>
          </w:p>
          <w:p w14:paraId="0B8E2044">
            <w:pPr>
              <w:pStyle w:val="116"/>
            </w:pPr>
          </w:p>
          <w:p w14:paraId="7384FA8B">
            <w:pPr>
              <w:pStyle w:val="116"/>
            </w:pPr>
          </w:p>
          <w:p w14:paraId="04391B2C">
            <w:pPr>
              <w:pStyle w:val="116"/>
            </w:pPr>
          </w:p>
          <w:p w14:paraId="651C83B2">
            <w:pPr>
              <w:pStyle w:val="116"/>
            </w:pPr>
            <w:r>
              <w:rPr>
                <w:rFonts w:hint="eastAsia"/>
              </w:rPr>
              <w:t>无偏离</w:t>
            </w:r>
          </w:p>
        </w:tc>
      </w:tr>
      <w:tr w14:paraId="56F250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2" w:type="pct"/>
            <w:tcBorders>
              <w:top w:val="single" w:color="auto" w:sz="4" w:space="0"/>
              <w:left w:val="single" w:color="auto" w:sz="4" w:space="0"/>
              <w:bottom w:val="single" w:color="auto" w:sz="4" w:space="0"/>
              <w:right w:val="single" w:color="auto" w:sz="4" w:space="0"/>
            </w:tcBorders>
            <w:vAlign w:val="center"/>
          </w:tcPr>
          <w:p w14:paraId="3A25F285">
            <w:pPr>
              <w:pStyle w:val="116"/>
            </w:pPr>
            <w:r>
              <w:rPr>
                <w:rFonts w:hint="eastAsia"/>
              </w:rPr>
              <w:t>备品备件及耗材等要求</w:t>
            </w:r>
          </w:p>
        </w:tc>
        <w:tc>
          <w:tcPr>
            <w:tcW w:w="1746" w:type="pct"/>
            <w:tcBorders>
              <w:top w:val="single" w:color="auto" w:sz="4" w:space="0"/>
              <w:left w:val="single" w:color="auto" w:sz="4" w:space="0"/>
              <w:bottom w:val="single" w:color="auto" w:sz="4" w:space="0"/>
              <w:right w:val="single" w:color="auto" w:sz="4" w:space="0"/>
            </w:tcBorders>
            <w:vAlign w:val="center"/>
          </w:tcPr>
          <w:p w14:paraId="10EC173C">
            <w:pPr>
              <w:pStyle w:val="116"/>
            </w:pPr>
            <w:r>
              <w:rPr>
                <w:rFonts w:hint="eastAsia"/>
              </w:rPr>
              <w:t>无</w:t>
            </w:r>
          </w:p>
        </w:tc>
        <w:tc>
          <w:tcPr>
            <w:tcW w:w="1434" w:type="pct"/>
            <w:tcBorders>
              <w:top w:val="single" w:color="auto" w:sz="4" w:space="0"/>
              <w:left w:val="single" w:color="auto" w:sz="4" w:space="0"/>
              <w:bottom w:val="single" w:color="auto" w:sz="4" w:space="0"/>
              <w:right w:val="single" w:color="auto" w:sz="4" w:space="0"/>
            </w:tcBorders>
            <w:vAlign w:val="center"/>
          </w:tcPr>
          <w:p w14:paraId="2A3F01A5">
            <w:pPr>
              <w:pStyle w:val="116"/>
            </w:pPr>
            <w:r>
              <w:rPr>
                <w:rFonts w:hint="eastAsia"/>
              </w:rPr>
              <w:t>无</w:t>
            </w:r>
          </w:p>
        </w:tc>
        <w:tc>
          <w:tcPr>
            <w:tcW w:w="907" w:type="pct"/>
            <w:tcBorders>
              <w:top w:val="single" w:color="auto" w:sz="4" w:space="0"/>
              <w:left w:val="single" w:color="auto" w:sz="4" w:space="0"/>
              <w:bottom w:val="single" w:color="auto" w:sz="4" w:space="0"/>
              <w:right w:val="single" w:color="auto" w:sz="4" w:space="0"/>
            </w:tcBorders>
            <w:vAlign w:val="center"/>
          </w:tcPr>
          <w:p w14:paraId="20B4DEB9">
            <w:pPr>
              <w:pStyle w:val="116"/>
            </w:pPr>
            <w:r>
              <w:rPr>
                <w:rFonts w:hint="eastAsia"/>
              </w:rPr>
              <w:t>无</w:t>
            </w:r>
          </w:p>
        </w:tc>
      </w:tr>
    </w:tbl>
    <w:p w14:paraId="6DE5A696">
      <w:pPr>
        <w:pStyle w:val="112"/>
        <w:ind w:firstLine="480"/>
      </w:pPr>
      <w:r>
        <w:rPr>
          <w:rFonts w:hint="eastAsia"/>
        </w:rPr>
        <w:t>投标人名称：                   授权代表签字：            日期：</w:t>
      </w:r>
    </w:p>
    <w:p w14:paraId="7F8C0F72">
      <w:pPr>
        <w:pStyle w:val="112"/>
        <w:ind w:firstLine="480"/>
      </w:pPr>
      <w:r>
        <w:rPr>
          <w:rFonts w:hint="eastAsia"/>
        </w:rPr>
        <w:t>注：为避免歧义，无偏离也应要提报该表，并注明“无”字。如无该表则即使在其它部分已反映，将也被视为“无偏离”。</w:t>
      </w:r>
    </w:p>
    <w:p w14:paraId="3B1AF471">
      <w:pPr>
        <w:pStyle w:val="112"/>
        <w:ind w:firstLine="480"/>
      </w:pPr>
    </w:p>
    <w:p w14:paraId="14DE9F88">
      <w:pPr>
        <w:pStyle w:val="112"/>
        <w:ind w:firstLine="480"/>
      </w:pPr>
    </w:p>
    <w:p w14:paraId="7362C87B">
      <w:pPr>
        <w:pStyle w:val="112"/>
        <w:ind w:firstLine="480"/>
      </w:pPr>
    </w:p>
    <w:p w14:paraId="32FA231D">
      <w:pPr>
        <w:pStyle w:val="112"/>
        <w:ind w:firstLine="480"/>
      </w:pPr>
    </w:p>
    <w:p w14:paraId="6C7FF52C">
      <w:pPr>
        <w:pStyle w:val="112"/>
        <w:ind w:firstLine="0" w:firstLineChars="0"/>
      </w:pPr>
    </w:p>
    <w:p w14:paraId="3278E8CE">
      <w:pPr>
        <w:pStyle w:val="118"/>
      </w:pPr>
      <w:r>
        <w:rPr>
          <w:rFonts w:hint="eastAsia"/>
        </w:rPr>
        <w:t>附件</w:t>
      </w:r>
      <w:bookmarkStart w:id="39" w:name="_Toc92678174"/>
      <w:bookmarkStart w:id="40" w:name="_Toc15535"/>
      <w:bookmarkStart w:id="41" w:name="_Toc639014"/>
      <w:bookmarkStart w:id="42" w:name="_Toc212369556"/>
      <w:bookmarkStart w:id="43" w:name="_Toc353881023"/>
      <w:r>
        <w:t xml:space="preserve">9 </w:t>
      </w:r>
      <w:r>
        <w:rPr>
          <w:rFonts w:hint="eastAsia"/>
        </w:rPr>
        <w:t>投标文件封面及封口</w:t>
      </w:r>
      <w:bookmarkEnd w:id="39"/>
      <w:r>
        <w:rPr>
          <w:rFonts w:hint="eastAsia"/>
        </w:rPr>
        <w:t>格式</w:t>
      </w:r>
      <w:bookmarkEnd w:id="40"/>
      <w:bookmarkEnd w:id="41"/>
      <w:bookmarkEnd w:id="42"/>
      <w:bookmarkEnd w:id="43"/>
    </w:p>
    <w:p w14:paraId="2E298906">
      <w:pPr>
        <w:pStyle w:val="112"/>
        <w:ind w:firstLine="480"/>
      </w:pPr>
      <w:r>
        <w:rPr>
          <w:rFonts w:hint="eastAsia"/>
        </w:rPr>
        <w:t>封面格式：</w:t>
      </w:r>
    </w:p>
    <w:tbl>
      <w:tblPr>
        <w:tblStyle w:val="31"/>
        <w:tblW w:w="91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4"/>
      </w:tblGrid>
      <w:tr w14:paraId="7D2F8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4" w:type="dxa"/>
          </w:tcPr>
          <w:p w14:paraId="65F4759C">
            <w:pPr>
              <w:pStyle w:val="116"/>
            </w:pPr>
          </w:p>
          <w:p w14:paraId="4E0591EB">
            <w:pPr>
              <w:pStyle w:val="116"/>
            </w:pPr>
            <w:r>
              <w:rPr>
                <w:rFonts w:hint="eastAsia"/>
              </w:rPr>
              <w:t>技术/资质/商务文件</w:t>
            </w:r>
          </w:p>
          <w:p w14:paraId="08534499">
            <w:pPr>
              <w:pStyle w:val="116"/>
            </w:pPr>
          </w:p>
          <w:p w14:paraId="33536B97">
            <w:pPr>
              <w:pStyle w:val="116"/>
            </w:pPr>
            <w:r>
              <w:rPr>
                <w:rFonts w:hint="eastAsia"/>
              </w:rPr>
              <w:t>（</w:t>
            </w:r>
            <w:r>
              <w:rPr>
                <w:rFonts w:hint="eastAsia" w:ascii="等线" w:hAnsi="等线" w:eastAsia="等线"/>
              </w:rPr>
              <w:t>1</w:t>
            </w:r>
            <w:r>
              <w:rPr>
                <w:rFonts w:hint="eastAsia"/>
              </w:rPr>
              <w:t>正本/</w:t>
            </w:r>
            <w:r>
              <w:rPr>
                <w:rFonts w:ascii="等线" w:hAnsi="等线" w:eastAsia="等线"/>
                <w:u w:val="single"/>
              </w:rPr>
              <w:t>5</w:t>
            </w:r>
            <w:r>
              <w:rPr>
                <w:rFonts w:hint="eastAsia"/>
              </w:rPr>
              <w:t>副本）</w:t>
            </w:r>
          </w:p>
          <w:p w14:paraId="29806E96">
            <w:pPr>
              <w:pStyle w:val="116"/>
            </w:pPr>
          </w:p>
          <w:p w14:paraId="32774CD2">
            <w:pPr>
              <w:pStyle w:val="116"/>
            </w:pPr>
          </w:p>
          <w:p w14:paraId="079648B2">
            <w:pPr>
              <w:pStyle w:val="116"/>
            </w:pPr>
            <w:r>
              <w:rPr>
                <w:rFonts w:hint="eastAsia"/>
              </w:rPr>
              <w:t>项目名称：</w:t>
            </w:r>
            <w:r>
              <w:t xml:space="preserve"> </w:t>
            </w:r>
          </w:p>
          <w:p w14:paraId="18E0CFA3">
            <w:pPr>
              <w:pStyle w:val="116"/>
            </w:pPr>
            <w:r>
              <w:rPr>
                <w:rFonts w:hint="eastAsia"/>
              </w:rPr>
              <w:t>投标人名称（公章）：</w:t>
            </w:r>
          </w:p>
          <w:p w14:paraId="317DB128">
            <w:pPr>
              <w:pStyle w:val="116"/>
            </w:pPr>
            <w:r>
              <w:rPr>
                <w:rFonts w:hint="eastAsia"/>
              </w:rPr>
              <w:t>地址：</w:t>
            </w:r>
          </w:p>
          <w:p w14:paraId="6B88B371">
            <w:pPr>
              <w:pStyle w:val="116"/>
            </w:pPr>
            <w:r>
              <w:rPr>
                <w:rFonts w:hint="eastAsia"/>
              </w:rPr>
              <w:t>授权代表电话：</w:t>
            </w:r>
          </w:p>
          <w:p w14:paraId="28831128">
            <w:pPr>
              <w:pStyle w:val="116"/>
            </w:pPr>
            <w:r>
              <w:rPr>
                <w:rFonts w:hint="eastAsia"/>
              </w:rPr>
              <w:t>传真：</w:t>
            </w:r>
          </w:p>
          <w:p w14:paraId="5A251530">
            <w:pPr>
              <w:pStyle w:val="116"/>
            </w:pPr>
          </w:p>
          <w:p w14:paraId="108CA07B">
            <w:pPr>
              <w:pStyle w:val="116"/>
            </w:pPr>
          </w:p>
        </w:tc>
      </w:tr>
    </w:tbl>
    <w:p w14:paraId="2BAAE220">
      <w:pPr>
        <w:pStyle w:val="112"/>
        <w:ind w:firstLine="480"/>
      </w:pPr>
      <w:r>
        <w:rPr>
          <w:rFonts w:hint="eastAsia"/>
        </w:rPr>
        <w:t>投标人：（盖章）</w:t>
      </w:r>
    </w:p>
    <w:p w14:paraId="1A87190B">
      <w:pPr>
        <w:pStyle w:val="112"/>
        <w:ind w:firstLine="480"/>
      </w:pPr>
      <w:r>
        <w:rPr>
          <w:rFonts w:hint="eastAsia"/>
        </w:rPr>
        <w:t>法定代表人（委托代理人）：（签字）</w:t>
      </w:r>
    </w:p>
    <w:p w14:paraId="5DF734ED">
      <w:pPr>
        <w:pStyle w:val="112"/>
        <w:ind w:firstLine="480"/>
      </w:pPr>
      <w:r>
        <w:rPr>
          <w:rFonts w:hint="eastAsia"/>
        </w:rPr>
        <w:t>日  期：       年    月    日</w:t>
      </w:r>
    </w:p>
    <w:p w14:paraId="22A7DA6F">
      <w:pPr>
        <w:pStyle w:val="112"/>
        <w:ind w:firstLine="480"/>
      </w:pPr>
      <w:r>
        <w:br w:type="page"/>
      </w:r>
    </w:p>
    <w:p w14:paraId="5434D308">
      <w:pPr>
        <w:pStyle w:val="118"/>
      </w:pPr>
      <w:r>
        <w:rPr>
          <w:rFonts w:hint="eastAsia"/>
        </w:rPr>
        <w:t>附件</w:t>
      </w:r>
      <w:r>
        <w:t xml:space="preserve">10 </w:t>
      </w:r>
      <w:r>
        <w:rPr>
          <w:rFonts w:hint="eastAsia"/>
        </w:rPr>
        <w:t>软件模块组成及功能</w:t>
      </w:r>
    </w:p>
    <w:p w14:paraId="46550DFE">
      <w:pPr>
        <w:jc w:val="center"/>
        <w:rPr>
          <w:rFonts w:ascii="宋体" w:hAnsi="宋体" w:cs="宋体"/>
          <w:b/>
          <w:bCs/>
          <w:color w:val="000000" w:themeColor="text1"/>
          <w:sz w:val="28"/>
          <w:szCs w:val="28"/>
          <w14:textFill>
            <w14:solidFill>
              <w14:schemeClr w14:val="tx1"/>
            </w14:solidFill>
          </w14:textFill>
        </w:rPr>
      </w:pPr>
      <w:r>
        <w:rPr>
          <w:rFonts w:hint="eastAsia" w:ascii="宋体" w:hAnsi="宋体" w:cs="宋体"/>
          <w:b/>
          <w:bCs/>
          <w:color w:val="000000" w:themeColor="text1"/>
          <w:sz w:val="28"/>
          <w:szCs w:val="28"/>
          <w14:textFill>
            <w14:solidFill>
              <w14:schemeClr w14:val="tx1"/>
            </w14:solidFill>
          </w14:textFill>
        </w:rPr>
        <w:t>软件模块组成及功能</w:t>
      </w:r>
    </w:p>
    <w:p w14:paraId="582F1F25">
      <w:pPr>
        <w:jc w:val="center"/>
        <w:rPr>
          <w:rFonts w:ascii="宋体" w:hAnsi="宋体" w:cs="宋体"/>
          <w:b/>
          <w:bCs/>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投标人对投标软件的模块组成、模块功能的详细描述应至少包括以下内容：</w:t>
      </w:r>
    </w:p>
    <w:p w14:paraId="0AE5498E">
      <w:pPr>
        <w:spacing w:line="360" w:lineRule="auto"/>
        <w:ind w:left="570"/>
        <w:rPr>
          <w:rFonts w:ascii="宋体" w:hAnsi="宋体"/>
          <w:color w:val="000000" w:themeColor="text1"/>
          <w:sz w:val="24"/>
          <w:szCs w:val="24"/>
          <w14:textFill>
            <w14:solidFill>
              <w14:schemeClr w14:val="tx1"/>
            </w14:solidFill>
          </w14:textFill>
        </w:rPr>
      </w:pPr>
      <w:r>
        <w:rPr>
          <w:color w:val="000000" w:themeColor="text1"/>
          <w:sz w:val="24"/>
          <w14:textFill>
            <w14:solidFill>
              <w14:schemeClr w14:val="tx1"/>
            </w14:solidFill>
          </w14:textFill>
        </w:rPr>
        <w:t>1</w:t>
      </w:r>
      <w:r>
        <w:rPr>
          <w:rFonts w:hint="eastAsia" w:ascii="宋体" w:hAnsi="宋体"/>
          <w:color w:val="000000" w:themeColor="text1"/>
          <w:sz w:val="24"/>
          <w14:textFill>
            <w14:solidFill>
              <w14:schemeClr w14:val="tx1"/>
            </w14:solidFill>
          </w14:textFill>
        </w:rPr>
        <w:t>.软件</w:t>
      </w:r>
      <w:r>
        <w:rPr>
          <w:rFonts w:hint="eastAsia" w:ascii="宋体" w:hAnsi="宋体"/>
          <w:color w:val="000000" w:themeColor="text1"/>
          <w:sz w:val="24"/>
          <w:szCs w:val="24"/>
          <w14:textFill>
            <w14:solidFill>
              <w14:schemeClr w14:val="tx1"/>
            </w14:solidFill>
          </w14:textFill>
        </w:rPr>
        <w:t>主要模块的组成及功能的描述。</w:t>
      </w:r>
    </w:p>
    <w:p w14:paraId="4DFCBDA1">
      <w:pPr>
        <w:spacing w:line="360" w:lineRule="auto"/>
        <w:ind w:left="570"/>
        <w:rPr>
          <w:rFonts w:ascii="宋体" w:hAnsi="宋体"/>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r>
        <w:rPr>
          <w:rFonts w:hint="eastAsia" w:ascii="宋体" w:hAnsi="宋体"/>
          <w:color w:val="000000" w:themeColor="text1"/>
          <w:sz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招标文件技术规范书要求提报、说明的内容</w:t>
      </w:r>
      <w:r>
        <w:rPr>
          <w:rFonts w:hint="eastAsia" w:ascii="宋体" w:hAnsi="宋体"/>
          <w:color w:val="000000" w:themeColor="text1"/>
          <w:sz w:val="24"/>
          <w14:textFill>
            <w14:solidFill>
              <w14:schemeClr w14:val="tx1"/>
            </w14:solidFill>
          </w14:textFill>
        </w:rPr>
        <w:t>。</w:t>
      </w:r>
    </w:p>
    <w:p w14:paraId="26D288DD">
      <w:pPr>
        <w:spacing w:line="360" w:lineRule="auto"/>
        <w:ind w:left="57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注：</w:t>
      </w:r>
    </w:p>
    <w:p w14:paraId="64E96F42">
      <w:pPr>
        <w:spacing w:line="360" w:lineRule="auto"/>
        <w:ind w:left="990"/>
        <w:rPr>
          <w:rFonts w:ascii="宋体" w:hAnsi="宋体"/>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r>
        <w:rPr>
          <w:rFonts w:hint="eastAsia" w:ascii="宋体" w:hAnsi="宋体"/>
          <w:color w:val="000000" w:themeColor="text1"/>
          <w:sz w:val="24"/>
          <w14:textFill>
            <w14:solidFill>
              <w14:schemeClr w14:val="tx1"/>
            </w14:solidFill>
          </w14:textFill>
        </w:rPr>
        <w:t>、投标人应根据上述内容、要求自行编制。</w:t>
      </w:r>
    </w:p>
    <w:p w14:paraId="4ADF6B53">
      <w:pPr>
        <w:spacing w:line="360" w:lineRule="auto"/>
        <w:ind w:left="990"/>
        <w:rPr>
          <w:rFonts w:ascii="宋体" w:hAnsi="宋体"/>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r>
        <w:rPr>
          <w:rFonts w:hint="eastAsia" w:ascii="宋体" w:hAnsi="宋体"/>
          <w:color w:val="000000" w:themeColor="text1"/>
          <w:sz w:val="24"/>
          <w14:textFill>
            <w14:solidFill>
              <w14:schemeClr w14:val="tx1"/>
            </w14:solidFill>
          </w14:textFill>
        </w:rPr>
        <w:t>、投软件</w:t>
      </w:r>
      <w:r>
        <w:rPr>
          <w:rFonts w:hint="eastAsia" w:ascii="宋体" w:hAnsi="宋体"/>
          <w:color w:val="000000" w:themeColor="text1"/>
          <w:sz w:val="24"/>
          <w:szCs w:val="24"/>
          <w14:textFill>
            <w14:solidFill>
              <w14:schemeClr w14:val="tx1"/>
            </w14:solidFill>
          </w14:textFill>
        </w:rPr>
        <w:t>模块组成及功能的描述及</w:t>
      </w:r>
      <w:r>
        <w:rPr>
          <w:rFonts w:hint="eastAsia" w:ascii="宋体" w:hAnsi="宋体"/>
          <w:color w:val="000000" w:themeColor="text1"/>
          <w:sz w:val="24"/>
          <w14:textFill>
            <w14:solidFill>
              <w14:schemeClr w14:val="tx1"/>
            </w14:solidFill>
          </w14:textFill>
        </w:rPr>
        <w:t>本标书技术规范书要求抄报的内容如在“附件格式</w:t>
      </w:r>
      <w:r>
        <w:rPr>
          <w:color w:val="000000" w:themeColor="text1"/>
          <w:sz w:val="24"/>
          <w14:textFill>
            <w14:solidFill>
              <w14:schemeClr w14:val="tx1"/>
            </w14:solidFill>
          </w14:textFill>
        </w:rPr>
        <w:t>3</w:t>
      </w:r>
      <w:r>
        <w:rPr>
          <w:rFonts w:hint="eastAsia" w:ascii="宋体" w:hAnsi="宋体"/>
          <w:color w:val="000000" w:themeColor="text1"/>
          <w:sz w:val="24"/>
          <w14:textFill>
            <w14:solidFill>
              <w14:schemeClr w14:val="tx1"/>
            </w14:solidFill>
          </w14:textFill>
        </w:rPr>
        <w:t>”中完全说明，则可不必填写本附件。</w:t>
      </w:r>
    </w:p>
    <w:p w14:paraId="2E9895F3">
      <w:pPr>
        <w:spacing w:line="360" w:lineRule="auto"/>
        <w:ind w:left="990"/>
        <w:rPr>
          <w:rFonts w:ascii="宋体" w:hAnsi="宋体"/>
          <w:color w:val="000000" w:themeColor="text1"/>
          <w:sz w:val="24"/>
          <w:szCs w:val="24"/>
          <w14:textFill>
            <w14:solidFill>
              <w14:schemeClr w14:val="tx1"/>
            </w14:solidFill>
          </w14:textFill>
        </w:rPr>
      </w:pPr>
    </w:p>
    <w:p w14:paraId="2DF60987">
      <w:pPr>
        <w:pStyle w:val="15"/>
        <w:ind w:firstLine="482" w:firstLineChars="200"/>
        <w:outlineLvl w:val="2"/>
        <w:rPr>
          <w:rFonts w:hAnsi="宋体" w:cs="宋体"/>
          <w:b/>
          <w:bCs/>
          <w:color w:val="auto"/>
          <w:sz w:val="24"/>
          <w:szCs w:val="24"/>
          <w:highlight w:val="none"/>
        </w:rPr>
      </w:pPr>
      <w:r>
        <w:rPr>
          <w:rFonts w:hint="eastAsia" w:hAnsi="宋体" w:cs="宋体"/>
          <w:b/>
          <w:bCs/>
          <w:color w:val="auto"/>
          <w:sz w:val="24"/>
          <w:szCs w:val="24"/>
          <w:highlight w:val="none"/>
        </w:rPr>
        <w:t>附件1</w:t>
      </w:r>
      <w:r>
        <w:rPr>
          <w:rFonts w:hint="eastAsia" w:hAnsi="宋体" w:cs="宋体"/>
          <w:b/>
          <w:bCs/>
          <w:color w:val="auto"/>
          <w:sz w:val="24"/>
          <w:szCs w:val="24"/>
          <w:highlight w:val="none"/>
          <w:lang w:val="en-US" w:eastAsia="zh-CN"/>
        </w:rPr>
        <w:t>1</w:t>
      </w:r>
      <w:r>
        <w:rPr>
          <w:rFonts w:hint="eastAsia" w:hAnsi="宋体" w:cs="宋体"/>
          <w:b/>
          <w:bCs/>
          <w:color w:val="auto"/>
          <w:sz w:val="24"/>
          <w:szCs w:val="24"/>
          <w:highlight w:val="none"/>
        </w:rPr>
        <w:t xml:space="preserve"> SRM非生产供应商注册操作手册（登录界面可下载完整版操作手册）</w:t>
      </w:r>
    </w:p>
    <w:p w14:paraId="5FEB98EC">
      <w:pPr>
        <w:adjustRightInd w:val="0"/>
        <w:snapToGrid w:val="0"/>
        <w:jc w:val="left"/>
        <w:rPr>
          <w:rFonts w:ascii="宋体" w:hAnsi="宋体" w:cs="宋体"/>
          <w:color w:val="auto"/>
          <w:sz w:val="24"/>
          <w:szCs w:val="24"/>
          <w:highlight w:val="none"/>
        </w:rPr>
      </w:pPr>
    </w:p>
    <w:p w14:paraId="0ACF077E">
      <w:pPr>
        <w:adjustRightInd w:val="0"/>
        <w:snapToGrid w:val="0"/>
        <w:spacing w:line="360" w:lineRule="auto"/>
        <w:jc w:val="left"/>
        <w:rPr>
          <w:rFonts w:ascii="宋体" w:hAnsi="宋体" w:cs="宋体"/>
          <w:color w:val="auto"/>
          <w:sz w:val="24"/>
          <w:szCs w:val="24"/>
          <w:highlight w:val="none"/>
        </w:rPr>
      </w:pPr>
      <w:r>
        <w:rPr>
          <w:rFonts w:hint="eastAsia" w:ascii="宋体" w:hAnsi="宋体" w:cs="宋体"/>
          <w:color w:val="auto"/>
          <w:sz w:val="24"/>
          <w:szCs w:val="24"/>
          <w:highlight w:val="none"/>
        </w:rPr>
        <w:t>浏览器中输入地址</w:t>
      </w:r>
      <w:r>
        <w:rPr>
          <w:rFonts w:hint="eastAsia" w:ascii="宋体" w:hAnsi="宋体" w:cs="宋体"/>
          <w:color w:val="auto"/>
          <w:sz w:val="24"/>
          <w:szCs w:val="24"/>
          <w:highlight w:val="none"/>
          <w:lang w:eastAsia="zh-CN"/>
        </w:rPr>
        <w:t>；</w:t>
      </w:r>
    </w:p>
    <w:p w14:paraId="73AFDEE1">
      <w:pPr>
        <w:adjustRightInd w:val="0"/>
        <w:snapToGrid w:val="0"/>
        <w:spacing w:line="360" w:lineRule="auto"/>
        <w:jc w:val="left"/>
        <w:rPr>
          <w:rFonts w:ascii="宋体" w:hAnsi="宋体" w:cs="宋体"/>
          <w:color w:val="auto"/>
          <w:sz w:val="24"/>
          <w:szCs w:val="24"/>
          <w:highlight w:val="none"/>
        </w:rPr>
      </w:pPr>
      <w:r>
        <w:rPr>
          <w:color w:val="auto"/>
          <w:highlight w:val="none"/>
        </w:rPr>
        <w:fldChar w:fldCharType="begin"/>
      </w:r>
      <w:r>
        <w:rPr>
          <w:color w:val="auto"/>
          <w:highlight w:val="none"/>
        </w:rPr>
        <w:instrText xml:space="preserve"> HYPERLINK "http://ecaitong.sinotruk.com:8012/" \l "/login" \t "dlt" </w:instrText>
      </w:r>
      <w:r>
        <w:rPr>
          <w:color w:val="auto"/>
          <w:highlight w:val="none"/>
        </w:rPr>
        <w:fldChar w:fldCharType="separate"/>
      </w:r>
      <w:r>
        <w:rPr>
          <w:rFonts w:hint="eastAsia" w:ascii="宋体" w:hAnsi="宋体" w:cs="宋体"/>
          <w:color w:val="auto"/>
          <w:sz w:val="24"/>
          <w:szCs w:val="24"/>
          <w:highlight w:val="none"/>
        </w:rPr>
        <w:t>https://ecaitong.sinotruk.com:8012/#/login</w:t>
      </w:r>
      <w:r>
        <w:rPr>
          <w:rFonts w:hint="eastAsia" w:ascii="宋体" w:hAnsi="宋体" w:cs="宋体"/>
          <w:color w:val="auto"/>
          <w:sz w:val="24"/>
          <w:szCs w:val="24"/>
          <w:highlight w:val="none"/>
        </w:rPr>
        <w:fldChar w:fldCharType="end"/>
      </w:r>
    </w:p>
    <w:p w14:paraId="34C7A728">
      <w:pPr>
        <w:adjustRightInd w:val="0"/>
        <w:snapToGrid w:val="0"/>
        <w:spacing w:line="360" w:lineRule="auto"/>
        <w:jc w:val="left"/>
        <w:rPr>
          <w:rFonts w:ascii="宋体" w:hAnsi="宋体" w:cs="宋体"/>
          <w:color w:val="auto"/>
          <w:sz w:val="24"/>
          <w:szCs w:val="24"/>
          <w:highlight w:val="none"/>
        </w:rPr>
      </w:pPr>
      <w:r>
        <w:rPr>
          <w:rFonts w:hint="eastAsia" w:ascii="宋体" w:hAnsi="宋体" w:cs="宋体"/>
          <w:color w:val="auto"/>
          <w:sz w:val="24"/>
          <w:szCs w:val="24"/>
          <w:highlight w:val="none"/>
        </w:rPr>
        <w:t>1.点击立即注册</w:t>
      </w:r>
    </w:p>
    <w:p w14:paraId="4BC1CB21">
      <w:pPr>
        <w:snapToGrid w:val="0"/>
        <w:spacing w:line="312" w:lineRule="auto"/>
        <w:rPr>
          <w:rFonts w:ascii="宋体" w:hAnsi="宋体" w:cs="宋体"/>
          <w:color w:val="auto"/>
          <w:highlight w:val="none"/>
        </w:rPr>
      </w:pPr>
      <w:r>
        <w:rPr>
          <w:rFonts w:hint="eastAsia" w:ascii="宋体" w:hAnsi="宋体" w:cs="宋体"/>
          <w:color w:val="auto"/>
          <w:highlight w:val="none"/>
        </w:rP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1"/>
                    <a:stretch>
                      <a:fillRect/>
                    </a:stretch>
                  </pic:blipFill>
                  <pic:spPr>
                    <a:xfrm>
                      <a:off x="0" y="0"/>
                      <a:ext cx="5760085" cy="2933377"/>
                    </a:xfrm>
                    <a:prstGeom prst="rect">
                      <a:avLst/>
                    </a:prstGeom>
                  </pic:spPr>
                </pic:pic>
              </a:graphicData>
            </a:graphic>
          </wp:inline>
        </w:drawing>
      </w:r>
    </w:p>
    <w:p w14:paraId="6ACE65C5">
      <w:pPr>
        <w:spacing w:line="360" w:lineRule="auto"/>
        <w:rPr>
          <w:rFonts w:ascii="宋体" w:hAnsi="宋体" w:cs="宋体"/>
          <w:color w:val="auto"/>
          <w:sz w:val="24"/>
          <w:szCs w:val="28"/>
          <w:highlight w:val="none"/>
        </w:rPr>
      </w:pPr>
      <w:r>
        <w:rPr>
          <w:rFonts w:hint="eastAsia" w:ascii="宋体" w:hAnsi="宋体" w:cs="宋体"/>
          <w:color w:val="auto"/>
          <w:sz w:val="24"/>
          <w:szCs w:val="28"/>
          <w:highlight w:val="none"/>
        </w:rPr>
        <w:t>2.填写手机号码（没有注册过的）</w:t>
      </w:r>
    </w:p>
    <w:p w14:paraId="264758B7">
      <w:pPr>
        <w:snapToGrid w:val="0"/>
        <w:spacing w:line="312" w:lineRule="auto"/>
        <w:rPr>
          <w:rFonts w:ascii="宋体" w:hAnsi="宋体" w:cs="宋体"/>
          <w:color w:val="auto"/>
          <w:highlight w:val="none"/>
        </w:rPr>
      </w:pPr>
      <w:r>
        <w:rPr>
          <w:rFonts w:hint="eastAsia" w:ascii="宋体" w:hAnsi="宋体" w:cs="宋体"/>
          <w:color w:val="auto"/>
          <w:highlight w:val="none"/>
        </w:rP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2"/>
                    <a:stretch>
                      <a:fillRect/>
                    </a:stretch>
                  </pic:blipFill>
                  <pic:spPr>
                    <a:xfrm>
                      <a:off x="0" y="0"/>
                      <a:ext cx="5760085" cy="2766707"/>
                    </a:xfrm>
                    <a:prstGeom prst="rect">
                      <a:avLst/>
                    </a:prstGeom>
                  </pic:spPr>
                </pic:pic>
              </a:graphicData>
            </a:graphic>
          </wp:inline>
        </w:drawing>
      </w:r>
    </w:p>
    <w:p w14:paraId="437CA07C">
      <w:pPr>
        <w:spacing w:line="360" w:lineRule="auto"/>
        <w:rPr>
          <w:rFonts w:ascii="宋体" w:hAnsi="宋体" w:cs="宋体"/>
          <w:color w:val="auto"/>
          <w:sz w:val="24"/>
          <w:szCs w:val="28"/>
          <w:highlight w:val="none"/>
        </w:rPr>
      </w:pPr>
      <w:r>
        <w:rPr>
          <w:rFonts w:hint="eastAsia" w:ascii="宋体" w:hAnsi="宋体" w:cs="宋体"/>
          <w:color w:val="auto"/>
          <w:sz w:val="24"/>
          <w:szCs w:val="28"/>
          <w:highlight w:val="none"/>
        </w:rPr>
        <w:t>3.注册成功登录这个手机号码的账号进入系统，点击供应商注册</w:t>
      </w:r>
    </w:p>
    <w:p w14:paraId="205FE1DD">
      <w:pPr>
        <w:snapToGrid w:val="0"/>
        <w:spacing w:line="312" w:lineRule="auto"/>
        <w:rPr>
          <w:rFonts w:ascii="宋体" w:hAnsi="宋体" w:cs="宋体"/>
          <w:color w:val="auto"/>
          <w:highlight w:val="none"/>
        </w:rPr>
      </w:pPr>
      <w:r>
        <w:rPr>
          <w:rFonts w:hint="eastAsia" w:ascii="宋体" w:hAnsi="宋体" w:cs="宋体"/>
          <w:color w:val="auto"/>
          <w:highlight w:val="none"/>
        </w:rP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3"/>
                    <a:stretch>
                      <a:fillRect/>
                    </a:stretch>
                  </pic:blipFill>
                  <pic:spPr>
                    <a:xfrm>
                      <a:off x="0" y="0"/>
                      <a:ext cx="5760085" cy="2870054"/>
                    </a:xfrm>
                    <a:prstGeom prst="rect">
                      <a:avLst/>
                    </a:prstGeom>
                  </pic:spPr>
                </pic:pic>
              </a:graphicData>
            </a:graphic>
          </wp:inline>
        </w:drawing>
      </w:r>
    </w:p>
    <w:p w14:paraId="408ADD76">
      <w:pPr>
        <w:spacing w:line="360" w:lineRule="auto"/>
        <w:rPr>
          <w:rFonts w:ascii="宋体" w:hAnsi="宋体" w:cs="宋体"/>
          <w:color w:val="auto"/>
          <w:sz w:val="24"/>
          <w:szCs w:val="28"/>
          <w:highlight w:val="none"/>
        </w:rPr>
      </w:pPr>
      <w:r>
        <w:rPr>
          <w:rFonts w:hint="eastAsia" w:ascii="宋体" w:hAnsi="宋体" w:cs="宋体"/>
          <w:color w:val="auto"/>
          <w:sz w:val="24"/>
          <w:szCs w:val="28"/>
          <w:highlight w:val="none"/>
        </w:rPr>
        <w:t>4.点击新增</w:t>
      </w:r>
    </w:p>
    <w:p w14:paraId="3D23BE26">
      <w:pPr>
        <w:snapToGrid w:val="0"/>
        <w:spacing w:line="312" w:lineRule="auto"/>
        <w:rPr>
          <w:rFonts w:ascii="宋体" w:hAnsi="宋体" w:cs="宋体"/>
          <w:color w:val="auto"/>
          <w:highlight w:val="none"/>
        </w:rPr>
      </w:pPr>
      <w:r>
        <w:rPr>
          <w:rFonts w:hint="eastAsia" w:ascii="宋体" w:hAnsi="宋体" w:cs="宋体"/>
          <w:color w:val="auto"/>
          <w:highlight w:val="none"/>
        </w:rP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4"/>
                    <a:stretch>
                      <a:fillRect/>
                    </a:stretch>
                  </pic:blipFill>
                  <pic:spPr>
                    <a:xfrm>
                      <a:off x="0" y="0"/>
                      <a:ext cx="5760085" cy="2853375"/>
                    </a:xfrm>
                    <a:prstGeom prst="rect">
                      <a:avLst/>
                    </a:prstGeom>
                  </pic:spPr>
                </pic:pic>
              </a:graphicData>
            </a:graphic>
          </wp:inline>
        </w:drawing>
      </w:r>
    </w:p>
    <w:p w14:paraId="548D461D">
      <w:pPr>
        <w:spacing w:line="360" w:lineRule="auto"/>
        <w:rPr>
          <w:rFonts w:ascii="宋体" w:hAnsi="宋体" w:cs="宋体"/>
          <w:color w:val="auto"/>
          <w:sz w:val="24"/>
          <w:szCs w:val="28"/>
          <w:highlight w:val="none"/>
        </w:rPr>
      </w:pPr>
      <w:r>
        <w:rPr>
          <w:rFonts w:hint="eastAsia" w:ascii="宋体" w:hAnsi="宋体" w:cs="宋体"/>
          <w:color w:val="auto"/>
          <w:sz w:val="24"/>
          <w:szCs w:val="28"/>
          <w:highlight w:val="none"/>
        </w:rPr>
        <w:t>5.按要求填写所有信息，注意非生产类要填写合作单位，最后提交审批（具体注册流程详见登录页-供应商用户手册）</w:t>
      </w:r>
    </w:p>
    <w:p w14:paraId="5761A7B5">
      <w:pPr>
        <w:spacing w:line="360" w:lineRule="auto"/>
        <w:rPr>
          <w:rFonts w:ascii="宋体" w:hAnsi="宋体" w:cs="宋体"/>
          <w:color w:val="auto"/>
          <w:sz w:val="24"/>
          <w:szCs w:val="28"/>
          <w:highlight w:val="none"/>
        </w:rPr>
      </w:pPr>
    </w:p>
    <w:p w14:paraId="7FEE64DC">
      <w:pPr>
        <w:rPr>
          <w:rFonts w:ascii="宋体" w:hAnsi="宋体" w:cs="宋体"/>
          <w:color w:val="auto"/>
          <w:highlight w:val="none"/>
        </w:rPr>
      </w:pPr>
    </w:p>
    <w:p w14:paraId="0A0B566E">
      <w:pPr>
        <w:rPr>
          <w:rFonts w:ascii="宋体" w:hAnsi="宋体" w:cs="宋体"/>
          <w:color w:val="auto"/>
          <w:highlight w:val="none"/>
        </w:rPr>
      </w:pPr>
      <w:r>
        <w:rPr>
          <w:rFonts w:hint="eastAsia" w:ascii="宋体" w:hAnsi="宋体" w:cs="宋体"/>
          <w:color w:val="auto"/>
          <w:highlight w:val="none"/>
        </w:rP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5"/>
                    <a:stretch>
                      <a:fillRect/>
                    </a:stretch>
                  </pic:blipFill>
                  <pic:spPr>
                    <a:xfrm>
                      <a:off x="0" y="0"/>
                      <a:ext cx="5760085" cy="2810122"/>
                    </a:xfrm>
                    <a:prstGeom prst="rect">
                      <a:avLst/>
                    </a:prstGeom>
                  </pic:spPr>
                </pic:pic>
              </a:graphicData>
            </a:graphic>
          </wp:inline>
        </w:drawing>
      </w:r>
    </w:p>
    <w:p w14:paraId="4B5B3EE2">
      <w:pPr>
        <w:pStyle w:val="15"/>
        <w:rPr>
          <w:rFonts w:hAnsi="宋体" w:cs="宋体"/>
          <w:color w:val="auto"/>
          <w:highlight w:val="none"/>
        </w:rPr>
      </w:pPr>
      <w:r>
        <w:rPr>
          <w:rFonts w:hint="eastAsia" w:hAnsi="宋体" w:cs="宋体"/>
          <w:color w:val="auto"/>
          <w:highlight w:val="none"/>
        </w:rP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6"/>
                    <a:stretch>
                      <a:fillRect/>
                    </a:stretch>
                  </pic:blipFill>
                  <pic:spPr>
                    <a:xfrm>
                      <a:off x="0" y="0"/>
                      <a:ext cx="5760085" cy="2820042"/>
                    </a:xfrm>
                    <a:prstGeom prst="rect">
                      <a:avLst/>
                    </a:prstGeom>
                  </pic:spPr>
                </pic:pic>
              </a:graphicData>
            </a:graphic>
          </wp:inline>
        </w:drawing>
      </w:r>
    </w:p>
    <w:p w14:paraId="424F48E0">
      <w:pPr>
        <w:pStyle w:val="15"/>
        <w:rPr>
          <w:rFonts w:hAnsi="宋体" w:cs="宋体"/>
          <w:color w:val="auto"/>
          <w:highlight w:val="none"/>
        </w:rPr>
      </w:pPr>
    </w:p>
    <w:p w14:paraId="75103E9E">
      <w:pPr>
        <w:pStyle w:val="15"/>
        <w:rPr>
          <w:rFonts w:hAnsi="宋体" w:cs="宋体"/>
          <w:b/>
          <w:bCs/>
          <w:color w:val="auto"/>
          <w:sz w:val="24"/>
          <w:szCs w:val="28"/>
          <w:highlight w:val="none"/>
        </w:rPr>
      </w:pPr>
      <w:r>
        <w:rPr>
          <w:rFonts w:hint="eastAsia" w:hAnsi="宋体" w:cs="宋体"/>
          <w:b/>
          <w:bCs/>
          <w:color w:val="auto"/>
          <w:sz w:val="24"/>
          <w:szCs w:val="28"/>
          <w:highlight w:val="none"/>
        </w:rPr>
        <w:t>注册注意事项：</w:t>
      </w:r>
    </w:p>
    <w:p w14:paraId="48DF5B4C">
      <w:pPr>
        <w:pStyle w:val="15"/>
        <w:numPr>
          <w:ilvl w:val="0"/>
          <w:numId w:val="30"/>
        </w:numPr>
        <w:rPr>
          <w:rFonts w:hAnsi="宋体" w:cs="宋体"/>
          <w:b/>
          <w:bCs/>
          <w:color w:val="auto"/>
          <w:sz w:val="24"/>
          <w:szCs w:val="28"/>
          <w:highlight w:val="none"/>
        </w:rPr>
      </w:pPr>
      <w:r>
        <w:rPr>
          <w:rFonts w:hint="eastAsia" w:hAnsi="宋体" w:cs="宋体"/>
          <w:b/>
          <w:bCs/>
          <w:color w:val="auto"/>
          <w:sz w:val="24"/>
          <w:szCs w:val="28"/>
          <w:highlight w:val="none"/>
        </w:rPr>
        <w:t>E采通注册时的所有信息，除个别非关键信息或实在是本公司没有的，其他信息必填，尤其是财务数据等重要信息，不填审核无法通过。</w:t>
      </w:r>
    </w:p>
    <w:p w14:paraId="0CD5A978">
      <w:pPr>
        <w:pStyle w:val="15"/>
        <w:numPr>
          <w:ilvl w:val="0"/>
          <w:numId w:val="30"/>
        </w:numPr>
        <w:rPr>
          <w:rFonts w:hAnsi="宋体" w:cs="宋体"/>
          <w:b/>
          <w:bCs/>
          <w:color w:val="auto"/>
          <w:sz w:val="24"/>
          <w:szCs w:val="28"/>
          <w:highlight w:val="none"/>
        </w:rPr>
      </w:pPr>
      <w:r>
        <w:rPr>
          <w:rFonts w:hint="eastAsia" w:hAnsi="宋体" w:cs="宋体"/>
          <w:b/>
          <w:bCs/>
          <w:color w:val="auto"/>
          <w:sz w:val="24"/>
          <w:szCs w:val="28"/>
          <w:highlight w:val="none"/>
        </w:rPr>
        <w:t>注册时供应商属性请选择非生产供方，管理单位选择直管单位，意向配套单位选择直管单位。</w:t>
      </w:r>
    </w:p>
    <w:p w14:paraId="1743EEA0">
      <w:pPr>
        <w:pStyle w:val="15"/>
        <w:numPr>
          <w:ilvl w:val="0"/>
          <w:numId w:val="30"/>
        </w:numPr>
        <w:rPr>
          <w:b/>
          <w:bCs/>
          <w:color w:val="auto"/>
          <w:sz w:val="24"/>
          <w:szCs w:val="28"/>
          <w:highlight w:val="none"/>
        </w:rPr>
      </w:pPr>
      <w:r>
        <w:rPr>
          <w:rFonts w:hint="eastAsia" w:hAnsi="宋体" w:cs="宋体"/>
          <w:b/>
          <w:bCs/>
          <w:color w:val="auto"/>
          <w:sz w:val="24"/>
          <w:szCs w:val="28"/>
          <w:highlight w:val="none"/>
        </w:rPr>
        <w:t>供货类别请选择：直管单位非生产招标 / 信息化 / 软件</w:t>
      </w:r>
      <w:r>
        <w:rPr>
          <w:rFonts w:hint="eastAsia" w:hAnsi="宋体" w:cs="宋体"/>
          <w:b/>
          <w:bCs/>
          <w:color w:val="auto"/>
          <w:sz w:val="24"/>
          <w:szCs w:val="28"/>
          <w:highlight w:val="none"/>
          <w:lang w:eastAsia="zh-CN"/>
        </w:rPr>
        <w:t>，</w:t>
      </w:r>
      <w:r>
        <w:rPr>
          <w:rFonts w:hint="eastAsia" w:ascii="宋体" w:hAnsi="宋体" w:eastAsia="宋体" w:cs="Times New Roman"/>
          <w:b/>
          <w:bCs/>
          <w:color w:val="000000"/>
          <w:sz w:val="24"/>
          <w:szCs w:val="24"/>
          <w:highlight w:val="none"/>
        </w:rPr>
        <w:t>业务主管部门为数智化转型发展部</w:t>
      </w:r>
      <w:r>
        <w:rPr>
          <w:rFonts w:hint="eastAsia" w:hAnsi="宋体" w:cs="宋体"/>
          <w:b/>
          <w:bCs/>
          <w:color w:val="auto"/>
          <w:sz w:val="24"/>
          <w:szCs w:val="28"/>
          <w:highlight w:val="none"/>
        </w:rPr>
        <w:t>。</w:t>
      </w:r>
    </w:p>
    <w:p w14:paraId="41448815">
      <w:pPr>
        <w:pStyle w:val="15"/>
        <w:rPr>
          <w:b/>
          <w:bCs/>
          <w:color w:val="auto"/>
          <w:sz w:val="24"/>
          <w:szCs w:val="28"/>
          <w:highlight w:val="none"/>
        </w:rPr>
        <w:sectPr>
          <w:pgSz w:w="11906" w:h="16838"/>
          <w:pgMar w:top="1588" w:right="1418" w:bottom="1134" w:left="1418" w:header="851" w:footer="992" w:gutter="0"/>
          <w:pgNumType w:fmt="decimal"/>
          <w:cols w:space="720" w:num="1"/>
          <w:titlePg/>
          <w:docGrid w:type="lines" w:linePitch="312" w:charSpace="0"/>
        </w:sectPr>
      </w:pPr>
      <w:r>
        <w:rPr>
          <w:rFonts w:hint="eastAsia"/>
          <w:b/>
          <w:bCs/>
          <w:color w:val="auto"/>
          <w:sz w:val="24"/>
          <w:szCs w:val="28"/>
          <w:highlight w:val="none"/>
        </w:rPr>
        <w:t>4.详细注册流程及注意事项，请在注册在登录界面下载供应商用户手册。</w:t>
      </w:r>
    </w:p>
    <w:p w14:paraId="33BB3986">
      <w:pPr>
        <w:pStyle w:val="15"/>
        <w:ind w:firstLine="482" w:firstLineChars="200"/>
        <w:outlineLvl w:val="2"/>
        <w:rPr>
          <w:rFonts w:hAnsi="宋体" w:cs="宋体"/>
          <w:b/>
          <w:color w:val="auto"/>
          <w:sz w:val="24"/>
          <w:szCs w:val="24"/>
          <w:highlight w:val="none"/>
        </w:rPr>
      </w:pPr>
      <w:r>
        <w:rPr>
          <w:rFonts w:hint="eastAsia" w:hAnsi="宋体" w:cs="宋体"/>
          <w:b/>
          <w:bCs/>
          <w:color w:val="auto"/>
          <w:sz w:val="24"/>
          <w:szCs w:val="24"/>
          <w:highlight w:val="none"/>
        </w:rPr>
        <w:t>附件1</w:t>
      </w:r>
      <w:r>
        <w:rPr>
          <w:rFonts w:hint="eastAsia" w:hAnsi="宋体" w:cs="宋体"/>
          <w:b/>
          <w:bCs/>
          <w:color w:val="auto"/>
          <w:sz w:val="24"/>
          <w:szCs w:val="24"/>
          <w:highlight w:val="none"/>
          <w:lang w:val="en-US" w:eastAsia="zh-CN"/>
        </w:rPr>
        <w:t>2</w:t>
      </w:r>
      <w:r>
        <w:rPr>
          <w:rFonts w:hint="eastAsia" w:hAnsi="宋体" w:cs="宋体"/>
          <w:b/>
          <w:bCs/>
          <w:color w:val="auto"/>
          <w:sz w:val="24"/>
          <w:szCs w:val="24"/>
          <w:highlight w:val="none"/>
        </w:rPr>
        <w:t xml:space="preserve"> </w:t>
      </w:r>
      <w:r>
        <w:rPr>
          <w:rFonts w:hint="eastAsia" w:hAnsi="宋体" w:cs="宋体"/>
          <w:b/>
          <w:color w:val="auto"/>
          <w:sz w:val="24"/>
          <w:szCs w:val="24"/>
          <w:highlight w:val="none"/>
        </w:rPr>
        <w:t>SRM系统供应商用户手册</w:t>
      </w:r>
    </w:p>
    <w:p w14:paraId="76CF995B">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系统网址：</w:t>
      </w:r>
      <w:r>
        <w:rPr>
          <w:color w:val="auto"/>
          <w:highlight w:val="none"/>
        </w:rPr>
        <w:fldChar w:fldCharType="begin"/>
      </w:r>
      <w:r>
        <w:rPr>
          <w:color w:val="auto"/>
          <w:highlight w:val="none"/>
        </w:rPr>
        <w:instrText xml:space="preserve"> HYPERLINK "http://ecaitong.sinotruk.com:8012/" \t "dlt" </w:instrText>
      </w:r>
      <w:r>
        <w:rPr>
          <w:color w:val="auto"/>
          <w:highlight w:val="none"/>
        </w:rPr>
        <w:fldChar w:fldCharType="separate"/>
      </w:r>
      <w:r>
        <w:rPr>
          <w:rStyle w:val="38"/>
          <w:rFonts w:hint="eastAsia" w:ascii="宋体" w:hAnsi="宋体" w:cs="宋体"/>
          <w:color w:val="auto"/>
          <w:sz w:val="24"/>
          <w:szCs w:val="24"/>
          <w:highlight w:val="none"/>
        </w:rPr>
        <w:t>https://ecaitong.sinotruk.com:8012/</w:t>
      </w:r>
      <w:r>
        <w:rPr>
          <w:rStyle w:val="38"/>
          <w:rFonts w:hint="eastAsia" w:ascii="宋体" w:hAnsi="宋体" w:cs="宋体"/>
          <w:color w:val="auto"/>
          <w:sz w:val="24"/>
          <w:szCs w:val="24"/>
          <w:highlight w:val="none"/>
        </w:rPr>
        <w:fldChar w:fldCharType="end"/>
      </w:r>
    </w:p>
    <w:p w14:paraId="757B61FB">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用 户 名：gys+供应商代码</w:t>
      </w:r>
    </w:p>
    <w:p w14:paraId="68A7B829">
      <w:pPr>
        <w:spacing w:line="360" w:lineRule="auto"/>
        <w:rPr>
          <w:rFonts w:ascii="宋体" w:hAnsi="宋体" w:cs="宋体"/>
          <w:b/>
          <w:bCs/>
          <w:color w:val="auto"/>
          <w:highlight w:val="none"/>
        </w:rPr>
      </w:pPr>
      <w:r>
        <w:rPr>
          <w:rFonts w:hint="eastAsia" w:ascii="宋体" w:hAnsi="宋体" w:cs="宋体"/>
          <w:color w:val="auto"/>
          <w:sz w:val="24"/>
          <w:szCs w:val="24"/>
          <w:highlight w:val="none"/>
        </w:rPr>
        <w:t>初始密码：</w:t>
      </w:r>
      <w:r>
        <w:rPr>
          <w:rFonts w:hint="eastAsia" w:ascii="宋体" w:hAnsi="宋体" w:cs="宋体"/>
          <w:b/>
          <w:bCs/>
          <w:color w:val="auto"/>
          <w:highlight w:val="none"/>
        </w:rPr>
        <w:t>详见注册成功后短信</w:t>
      </w:r>
    </w:p>
    <w:p w14:paraId="1345C764">
      <w:pPr>
        <w:spacing w:line="360" w:lineRule="auto"/>
        <w:rPr>
          <w:rFonts w:ascii="宋体" w:hAnsi="宋体" w:cs="宋体"/>
          <w:b/>
          <w:bCs/>
          <w:color w:val="auto"/>
          <w:sz w:val="24"/>
          <w:szCs w:val="24"/>
          <w:highlight w:val="none"/>
        </w:rPr>
      </w:pPr>
      <w:r>
        <w:rPr>
          <w:rFonts w:hint="eastAsia" w:ascii="宋体" w:hAnsi="宋体" w:cs="宋体"/>
          <w:b/>
          <w:bCs/>
          <w:color w:val="auto"/>
          <w:sz w:val="24"/>
          <w:szCs w:val="24"/>
          <w:highlight w:val="none"/>
        </w:rPr>
        <w:t>1.供应商应标</w:t>
      </w:r>
    </w:p>
    <w:p w14:paraId="50B7B1A3">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路径：招投标中心-非生产类招投标-供应商应标</w:t>
      </w:r>
    </w:p>
    <w:p w14:paraId="3D223B93">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点击应标，上传文件之后点击提交。</w:t>
      </w:r>
    </w:p>
    <w:p w14:paraId="1D19DA11">
      <w:pPr>
        <w:rPr>
          <w:rFonts w:ascii="宋体" w:hAnsi="宋体" w:cs="宋体"/>
          <w:color w:val="auto"/>
          <w:highlight w:val="none"/>
        </w:rPr>
      </w:pPr>
      <w:r>
        <w:rPr>
          <w:rFonts w:hint="eastAsia" w:ascii="宋体" w:hAnsi="宋体" w:cs="宋体"/>
          <w:color w:val="auto"/>
          <w:highlight w:val="none"/>
        </w:rP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7"/>
                    <a:stretch>
                      <a:fillRect/>
                    </a:stretch>
                  </pic:blipFill>
                  <pic:spPr>
                    <a:xfrm>
                      <a:off x="0" y="0"/>
                      <a:ext cx="5760085" cy="2269864"/>
                    </a:xfrm>
                    <a:prstGeom prst="rect">
                      <a:avLst/>
                    </a:prstGeom>
                  </pic:spPr>
                </pic:pic>
              </a:graphicData>
            </a:graphic>
          </wp:inline>
        </w:drawing>
      </w:r>
    </w:p>
    <w:p w14:paraId="7124D7BC">
      <w:pPr>
        <w:rPr>
          <w:rFonts w:ascii="宋体" w:hAnsi="宋体" w:cs="宋体"/>
          <w:color w:val="auto"/>
          <w:highlight w:val="none"/>
        </w:rPr>
      </w:pPr>
    </w:p>
    <w:p w14:paraId="02910B6F">
      <w:pPr>
        <w:spacing w:line="360" w:lineRule="auto"/>
        <w:rPr>
          <w:rFonts w:ascii="宋体" w:hAnsi="宋体" w:cs="宋体"/>
          <w:b/>
          <w:bCs/>
          <w:color w:val="auto"/>
          <w:sz w:val="24"/>
          <w:szCs w:val="24"/>
          <w:highlight w:val="none"/>
        </w:rPr>
      </w:pPr>
      <w:r>
        <w:rPr>
          <w:rFonts w:hint="eastAsia" w:ascii="宋体" w:hAnsi="宋体" w:cs="宋体"/>
          <w:b/>
          <w:bCs/>
          <w:color w:val="auto"/>
          <w:sz w:val="24"/>
          <w:szCs w:val="24"/>
          <w:highlight w:val="none"/>
        </w:rPr>
        <w:t>2.供应商投标</w:t>
      </w:r>
    </w:p>
    <w:p w14:paraId="05B1EB48">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路径：招投标中心-非生产类招投标-供应商投标</w:t>
      </w:r>
    </w:p>
    <w:p w14:paraId="25889F45">
      <w:pPr>
        <w:rPr>
          <w:rFonts w:ascii="宋体" w:hAnsi="宋体" w:cs="宋体"/>
          <w:color w:val="auto"/>
          <w:highlight w:val="none"/>
        </w:rPr>
      </w:pPr>
      <w:r>
        <w:rPr>
          <w:rFonts w:hint="eastAsia" w:ascii="宋体" w:hAnsi="宋体" w:cs="宋体"/>
          <w:color w:val="auto"/>
          <w:highlight w:val="none"/>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8"/>
                    <a:stretch>
                      <a:fillRect/>
                    </a:stretch>
                  </pic:blipFill>
                  <pic:spPr>
                    <a:xfrm>
                      <a:off x="0" y="0"/>
                      <a:ext cx="5760085" cy="2125673"/>
                    </a:xfrm>
                    <a:prstGeom prst="rect">
                      <a:avLst/>
                    </a:prstGeom>
                  </pic:spPr>
                </pic:pic>
              </a:graphicData>
            </a:graphic>
          </wp:inline>
        </w:drawing>
      </w:r>
    </w:p>
    <w:p w14:paraId="5DBFF5B1">
      <w:pPr>
        <w:spacing w:line="360" w:lineRule="auto"/>
        <w:rPr>
          <w:rFonts w:ascii="宋体" w:hAnsi="宋体" w:cs="宋体"/>
          <w:color w:val="auto"/>
          <w:sz w:val="24"/>
          <w:szCs w:val="28"/>
          <w:highlight w:val="none"/>
        </w:rPr>
      </w:pPr>
      <w:r>
        <w:rPr>
          <w:rFonts w:hint="eastAsia" w:ascii="宋体" w:hAnsi="宋体" w:cs="宋体"/>
          <w:color w:val="auto"/>
          <w:sz w:val="24"/>
          <w:szCs w:val="28"/>
          <w:highlight w:val="none"/>
        </w:rPr>
        <w:t>点击投标按钮，进入详情页，输入投标报价并上传相应的附件。</w:t>
      </w:r>
    </w:p>
    <w:p w14:paraId="4498A172">
      <w:pPr>
        <w:pStyle w:val="5"/>
        <w:ind w:left="425" w:hanging="425"/>
        <w:rPr>
          <w:rFonts w:ascii="宋体" w:hAnsi="宋体" w:cs="宋体"/>
          <w:color w:val="auto"/>
          <w:highlight w:val="none"/>
        </w:rPr>
      </w:pPr>
      <w:r>
        <w:rPr>
          <w:rFonts w:hint="eastAsia" w:ascii="宋体" w:hAnsi="宋体" w:cs="宋体"/>
          <w:color w:val="auto"/>
          <w:highlight w:val="none"/>
          <w:lang w:val="en-US"/>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9"/>
                    <a:stretch>
                      <a:fillRect/>
                    </a:stretch>
                  </pic:blipFill>
                  <pic:spPr>
                    <a:xfrm>
                      <a:off x="0" y="0"/>
                      <a:ext cx="5490210" cy="2669498"/>
                    </a:xfrm>
                    <a:prstGeom prst="rect">
                      <a:avLst/>
                    </a:prstGeom>
                  </pic:spPr>
                </pic:pic>
              </a:graphicData>
            </a:graphic>
          </wp:inline>
        </w:drawing>
      </w:r>
    </w:p>
    <w:p w14:paraId="75B3A1C3">
      <w:pPr>
        <w:spacing w:line="360" w:lineRule="auto"/>
        <w:rPr>
          <w:rFonts w:ascii="宋体" w:hAnsi="宋体" w:cs="宋体"/>
          <w:b/>
          <w:bCs/>
          <w:color w:val="auto"/>
          <w:sz w:val="24"/>
          <w:szCs w:val="24"/>
          <w:highlight w:val="none"/>
        </w:rPr>
      </w:pPr>
      <w:r>
        <w:rPr>
          <w:rFonts w:hint="eastAsia" w:ascii="宋体" w:hAnsi="宋体" w:cs="宋体"/>
          <w:b/>
          <w:bCs/>
          <w:color w:val="auto"/>
          <w:sz w:val="24"/>
          <w:szCs w:val="24"/>
          <w:highlight w:val="none"/>
        </w:rPr>
        <w:t>3.供应商技术标澄清函</w:t>
      </w:r>
    </w:p>
    <w:p w14:paraId="0EAE5424">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路径：招投标中心-非生产类招投标-供应商技术标澄清函</w:t>
      </w:r>
    </w:p>
    <w:p w14:paraId="1A46E8D4">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点击编辑按钮进入系统，上传技术标澄清函。</w:t>
      </w:r>
    </w:p>
    <w:p w14:paraId="0501AFA0">
      <w:pPr>
        <w:spacing w:line="360" w:lineRule="auto"/>
        <w:jc w:val="left"/>
        <w:rPr>
          <w:rFonts w:ascii="宋体" w:hAnsi="宋体" w:cs="宋体"/>
          <w:color w:val="auto"/>
          <w:sz w:val="28"/>
          <w:highlight w:val="none"/>
        </w:rPr>
      </w:pPr>
      <w:r>
        <w:rPr>
          <w:rFonts w:hint="eastAsia" w:ascii="宋体" w:hAnsi="宋体" w:cs="宋体"/>
          <w:color w:val="auto"/>
          <w:sz w:val="24"/>
          <w:szCs w:val="24"/>
          <w:highlight w:val="none"/>
        </w:rPr>
        <w:t>开标之后所有投标的供应商都可编辑提交，技术标入围之后 都不可编辑</w:t>
      </w:r>
      <w:r>
        <w:rPr>
          <w:rFonts w:hint="eastAsia" w:ascii="宋体" w:hAnsi="宋体" w:cs="宋体"/>
          <w:color w:val="auto"/>
          <w:sz w:val="28"/>
          <w:highlight w:val="none"/>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0"/>
                    <a:stretch>
                      <a:fillRect/>
                    </a:stretch>
                  </pic:blipFill>
                  <pic:spPr>
                    <a:xfrm>
                      <a:off x="0" y="0"/>
                      <a:ext cx="5490210" cy="1992743"/>
                    </a:xfrm>
                    <a:prstGeom prst="rect">
                      <a:avLst/>
                    </a:prstGeom>
                  </pic:spPr>
                </pic:pic>
              </a:graphicData>
            </a:graphic>
          </wp:inline>
        </w:drawing>
      </w:r>
    </w:p>
    <w:p w14:paraId="12AE0128">
      <w:pPr>
        <w:spacing w:line="360" w:lineRule="auto"/>
        <w:rPr>
          <w:rFonts w:ascii="宋体" w:hAnsi="宋体" w:cs="宋体"/>
          <w:b/>
          <w:bCs/>
          <w:color w:val="auto"/>
          <w:sz w:val="24"/>
          <w:szCs w:val="24"/>
          <w:highlight w:val="none"/>
        </w:rPr>
      </w:pPr>
      <w:r>
        <w:rPr>
          <w:rFonts w:hint="eastAsia" w:ascii="宋体" w:hAnsi="宋体" w:cs="宋体"/>
          <w:b/>
          <w:bCs/>
          <w:color w:val="auto"/>
          <w:sz w:val="24"/>
          <w:szCs w:val="24"/>
          <w:highlight w:val="none"/>
        </w:rPr>
        <w:t>4.供应商报价</w:t>
      </w:r>
    </w:p>
    <w:p w14:paraId="72FBE8F4">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路径：招投标中心-非生产类招投标-供应商报价</w:t>
      </w:r>
    </w:p>
    <w:p w14:paraId="709EFF54">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点击报价按钮进入报价详情界面，请在此轮报价起止时间内报价，否则无法报价。</w:t>
      </w:r>
    </w:p>
    <w:p w14:paraId="25788CC7">
      <w:pPr>
        <w:spacing w:line="360" w:lineRule="auto"/>
        <w:rPr>
          <w:rFonts w:ascii="宋体" w:hAnsi="宋体" w:cs="宋体"/>
          <w:b/>
          <w:bCs/>
          <w:color w:val="auto"/>
          <w:sz w:val="24"/>
          <w:szCs w:val="24"/>
          <w:highlight w:val="none"/>
        </w:rPr>
      </w:pPr>
      <w:r>
        <w:rPr>
          <w:rFonts w:hint="eastAsia" w:ascii="宋体" w:hAnsi="宋体" w:cs="宋体"/>
          <w:b/>
          <w:bCs/>
          <w:color w:val="auto"/>
          <w:sz w:val="24"/>
          <w:szCs w:val="24"/>
          <w:highlight w:val="none"/>
        </w:rPr>
        <w:t>5.供应商澄清报价</w:t>
      </w:r>
    </w:p>
    <w:p w14:paraId="799F0F60">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路径：招投标中心-非生产类招投标-供应商澄清报价</w:t>
      </w:r>
    </w:p>
    <w:p w14:paraId="1FF2CE0C">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招标发起人接收建议价的同时会给供应商发送澄清报价，供应商在此界面进行澄清报价，点击编辑按钮进入澄清报价详细界面，输入价格并上传澄清函，之后点击提交。</w:t>
      </w:r>
    </w:p>
    <w:p w14:paraId="02F258E2">
      <w:pPr>
        <w:pStyle w:val="5"/>
        <w:ind w:left="425" w:hanging="425"/>
        <w:rPr>
          <w:rFonts w:ascii="宋体" w:hAnsi="宋体" w:cs="宋体"/>
          <w:color w:val="auto"/>
          <w:highlight w:val="none"/>
        </w:rPr>
      </w:pPr>
      <w:r>
        <w:rPr>
          <w:rFonts w:hint="eastAsia" w:ascii="宋体" w:hAnsi="宋体" w:cs="宋体"/>
          <w:color w:val="auto"/>
          <w:highlight w:val="none"/>
          <w:lang w:val="en-US"/>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1"/>
                    <a:stretch>
                      <a:fillRect/>
                    </a:stretch>
                  </pic:blipFill>
                  <pic:spPr>
                    <a:xfrm>
                      <a:off x="0" y="0"/>
                      <a:ext cx="5490210" cy="2544669"/>
                    </a:xfrm>
                    <a:prstGeom prst="rect">
                      <a:avLst/>
                    </a:prstGeom>
                  </pic:spPr>
                </pic:pic>
              </a:graphicData>
            </a:graphic>
          </wp:inline>
        </w:drawing>
      </w:r>
    </w:p>
    <w:p w14:paraId="02D1EDF5">
      <w:pPr>
        <w:spacing w:line="360" w:lineRule="auto"/>
        <w:rPr>
          <w:rFonts w:ascii="宋体" w:hAnsi="宋体" w:cs="宋体"/>
          <w:b/>
          <w:bCs/>
          <w:color w:val="auto"/>
          <w:sz w:val="24"/>
          <w:szCs w:val="24"/>
          <w:highlight w:val="none"/>
        </w:rPr>
      </w:pPr>
      <w:r>
        <w:rPr>
          <w:rFonts w:hint="eastAsia" w:ascii="宋体" w:hAnsi="宋体" w:cs="宋体"/>
          <w:b/>
          <w:bCs/>
          <w:color w:val="auto"/>
          <w:sz w:val="24"/>
          <w:szCs w:val="24"/>
          <w:highlight w:val="none"/>
        </w:rPr>
        <w:t>6.供应商查看中标通知</w:t>
      </w:r>
    </w:p>
    <w:p w14:paraId="60242E6D">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路径：招投标中心-非生产类招投标-中标项目</w:t>
      </w:r>
    </w:p>
    <w:p w14:paraId="23E18241">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点击查看进入查看中标项目详情</w:t>
      </w:r>
    </w:p>
    <w:p w14:paraId="0A6C9FEC">
      <w:pPr>
        <w:widowControl/>
        <w:jc w:val="left"/>
        <w:rPr>
          <w:rFonts w:ascii="黑体" w:hAnsi="黑体"/>
          <w:color w:val="000000"/>
          <w:sz w:val="24"/>
          <w:szCs w:val="28"/>
        </w:rPr>
      </w:pPr>
      <w:r>
        <w:rPr>
          <w:rFonts w:hint="eastAsia" w:ascii="宋体" w:hAnsi="宋体" w:cs="宋体"/>
          <w:color w:val="auto"/>
          <w:highlight w:val="none"/>
        </w:rP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2"/>
                    <a:stretch>
                      <a:fillRect/>
                    </a:stretch>
                  </pic:blipFill>
                  <pic:spPr>
                    <a:xfrm>
                      <a:off x="0" y="0"/>
                      <a:ext cx="5760085" cy="1956600"/>
                    </a:xfrm>
                    <a:prstGeom prst="rect">
                      <a:avLst/>
                    </a:prstGeom>
                  </pic:spPr>
                </pic:pic>
              </a:graphicData>
            </a:graphic>
          </wp:inline>
        </w:drawing>
      </w:r>
    </w:p>
    <w:sectPr>
      <w:headerReference r:id="rId7" w:type="first"/>
      <w:footerReference r:id="rId8" w:type="first"/>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1" w:csb1="00000000"/>
  </w:font>
  <w:font w:name="SimSong Bold">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2336012A">
        <w:pPr>
          <w:pStyle w:val="19"/>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31</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35</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3B3F5">
    <w:pPr>
      <w:pStyle w:val="19"/>
      <w:framePr w:wrap="around" w:vAnchor="text" w:hAnchor="margin" w:xAlign="center" w:y="1"/>
      <w:rPr>
        <w:rStyle w:val="35"/>
      </w:rPr>
    </w:pPr>
    <w:r>
      <w:fldChar w:fldCharType="begin"/>
    </w:r>
    <w:r>
      <w:rPr>
        <w:rStyle w:val="35"/>
      </w:rPr>
      <w:instrText xml:space="preserve">PAGE  </w:instrText>
    </w:r>
    <w:r>
      <w:fldChar w:fldCharType="end"/>
    </w:r>
  </w:p>
  <w:p w14:paraId="066F10CC">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1FE23">
    <w:pPr>
      <w:pStyle w:val="19"/>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46393AA6">
            <w:pPr>
              <w:pStyle w:val="19"/>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35</w:t>
            </w:r>
            <w:r>
              <w:rPr>
                <w:lang w:val="zh-CN"/>
              </w:rPr>
              <w:fldChar w:fldCharType="end"/>
            </w:r>
            <w:r>
              <w:rPr>
                <w:rFonts w:hint="eastAsia"/>
                <w:lang w:val="zh-CN"/>
              </w:rPr>
              <w:t>页</w:t>
            </w:r>
          </w:p>
        </w:sdtContent>
      </w:sdt>
    </w:sdtContent>
  </w:sdt>
  <w:p w14:paraId="0A04FB1B">
    <w:pPr>
      <w:pStyle w:val="19"/>
      <w:jc w:val="center"/>
    </w:pPr>
  </w:p>
  <w:p w14:paraId="3B16D6C3"/>
  <w:p w14:paraId="2A013EF9"/>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70BD5">
    <w:pPr>
      <w:pStyle w:val="20"/>
      <w:ind w:firstLine="360"/>
      <w:jc w:val="right"/>
    </w:pPr>
    <w:r>
      <w:rPr>
        <w:rFonts w:hint="eastAsia"/>
      </w:rPr>
      <w:t>中国重型汽车集团*</w:t>
    </w:r>
    <w:r>
      <w:t>*****</w:t>
    </w:r>
    <w:r>
      <w:rPr>
        <w:rFonts w:hint="eastAsia"/>
      </w:rPr>
      <w:t>采购项目招标书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D270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2">
    <w:nsid w:val="93852671"/>
    <w:multiLevelType w:val="singleLevel"/>
    <w:tmpl w:val="93852671"/>
    <w:lvl w:ilvl="0" w:tentative="0">
      <w:start w:val="1"/>
      <w:numFmt w:val="decimal"/>
      <w:lvlText w:val="%1."/>
      <w:lvlJc w:val="left"/>
      <w:pPr>
        <w:ind w:left="425" w:hanging="425"/>
      </w:pPr>
      <w:rPr>
        <w:rFonts w:hint="default"/>
      </w:rPr>
    </w:lvl>
  </w:abstractNum>
  <w:abstractNum w:abstractNumId="3">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4">
    <w:nsid w:val="AFD326CF"/>
    <w:multiLevelType w:val="singleLevel"/>
    <w:tmpl w:val="AFD326CF"/>
    <w:lvl w:ilvl="0" w:tentative="0">
      <w:start w:val="1"/>
      <w:numFmt w:val="decimal"/>
      <w:lvlText w:val="%1."/>
      <w:lvlJc w:val="left"/>
      <w:pPr>
        <w:tabs>
          <w:tab w:val="left" w:pos="312"/>
        </w:tabs>
      </w:pPr>
    </w:lvl>
  </w:abstractNum>
  <w:abstractNum w:abstractNumId="5">
    <w:nsid w:val="B12C4597"/>
    <w:multiLevelType w:val="singleLevel"/>
    <w:tmpl w:val="B12C4597"/>
    <w:lvl w:ilvl="0" w:tentative="0">
      <w:start w:val="1"/>
      <w:numFmt w:val="decimal"/>
      <w:lvlText w:val="%1."/>
      <w:lvlJc w:val="left"/>
      <w:pPr>
        <w:ind w:left="425" w:hanging="425"/>
      </w:pPr>
      <w:rPr>
        <w:rFonts w:hint="default"/>
      </w:rPr>
    </w:lvl>
  </w:abstractNum>
  <w:abstractNum w:abstractNumId="6">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7">
    <w:nsid w:val="BD4C6742"/>
    <w:multiLevelType w:val="singleLevel"/>
    <w:tmpl w:val="BD4C6742"/>
    <w:lvl w:ilvl="0" w:tentative="0">
      <w:start w:val="1"/>
      <w:numFmt w:val="decimal"/>
      <w:lvlText w:val="%1."/>
      <w:lvlJc w:val="left"/>
      <w:pPr>
        <w:ind w:left="425" w:hanging="425"/>
      </w:pPr>
      <w:rPr>
        <w:rFonts w:hint="default"/>
      </w:rPr>
    </w:lvl>
  </w:abstractNum>
  <w:abstractNum w:abstractNumId="8">
    <w:nsid w:val="CA70C5AE"/>
    <w:multiLevelType w:val="singleLevel"/>
    <w:tmpl w:val="CA70C5AE"/>
    <w:lvl w:ilvl="0" w:tentative="0">
      <w:start w:val="1"/>
      <w:numFmt w:val="decimal"/>
      <w:lvlText w:val="%1."/>
      <w:lvlJc w:val="left"/>
      <w:pPr>
        <w:ind w:left="425" w:hanging="425"/>
      </w:pPr>
      <w:rPr>
        <w:rFonts w:hint="default"/>
      </w:rPr>
    </w:lvl>
  </w:abstractNum>
  <w:abstractNum w:abstractNumId="9">
    <w:nsid w:val="D9A4530E"/>
    <w:multiLevelType w:val="singleLevel"/>
    <w:tmpl w:val="D9A4530E"/>
    <w:lvl w:ilvl="0" w:tentative="0">
      <w:start w:val="1"/>
      <w:numFmt w:val="decimal"/>
      <w:lvlText w:val="(%1)"/>
      <w:lvlJc w:val="left"/>
      <w:pPr>
        <w:ind w:left="425" w:hanging="425"/>
      </w:pPr>
      <w:rPr>
        <w:rFonts w:hint="default"/>
      </w:rPr>
    </w:lvl>
  </w:abstractNum>
  <w:abstractNum w:abstractNumId="10">
    <w:nsid w:val="DC3F8C8B"/>
    <w:multiLevelType w:val="singleLevel"/>
    <w:tmpl w:val="DC3F8C8B"/>
    <w:lvl w:ilvl="0" w:tentative="0">
      <w:start w:val="1"/>
      <w:numFmt w:val="decimal"/>
      <w:lvlText w:val="%1."/>
      <w:lvlJc w:val="left"/>
      <w:pPr>
        <w:ind w:left="425" w:hanging="425"/>
      </w:pPr>
      <w:rPr>
        <w:rFonts w:hint="default"/>
      </w:rPr>
    </w:lvl>
  </w:abstractNum>
  <w:abstractNum w:abstractNumId="11">
    <w:nsid w:val="FE574647"/>
    <w:multiLevelType w:val="multilevel"/>
    <w:tmpl w:val="FE57464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12">
    <w:nsid w:val="06882CE3"/>
    <w:multiLevelType w:val="multilevel"/>
    <w:tmpl w:val="06882CE3"/>
    <w:lvl w:ilvl="0" w:tentative="0">
      <w:start w:val="1"/>
      <w:numFmt w:val="decimal"/>
      <w:pStyle w:val="76"/>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3">
    <w:nsid w:val="178D3D0E"/>
    <w:multiLevelType w:val="multilevel"/>
    <w:tmpl w:val="178D3D0E"/>
    <w:lvl w:ilvl="0" w:tentative="0">
      <w:start w:val="1"/>
      <w:numFmt w:val="bullet"/>
      <w:pStyle w:val="92"/>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4">
    <w:nsid w:val="1E7B065C"/>
    <w:multiLevelType w:val="multilevel"/>
    <w:tmpl w:val="1E7B065C"/>
    <w:lvl w:ilvl="0" w:tentative="0">
      <w:start w:val="1"/>
      <w:numFmt w:val="decimal"/>
      <w:pStyle w:val="97"/>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5">
    <w:nsid w:val="28AE45AF"/>
    <w:multiLevelType w:val="multilevel"/>
    <w:tmpl w:val="28AE45AF"/>
    <w:lvl w:ilvl="0" w:tentative="0">
      <w:start w:val="6"/>
      <w:numFmt w:val="japaneseCounting"/>
      <w:lvlText w:val="%1、"/>
      <w:lvlJc w:val="left"/>
      <w:pPr>
        <w:ind w:left="600" w:hanging="6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344449A7"/>
    <w:multiLevelType w:val="multilevel"/>
    <w:tmpl w:val="344449A7"/>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3CF6EF77"/>
    <w:multiLevelType w:val="singleLevel"/>
    <w:tmpl w:val="3CF6EF77"/>
    <w:lvl w:ilvl="0" w:tentative="0">
      <w:start w:val="1"/>
      <w:numFmt w:val="decimal"/>
      <w:lvlText w:val="%1."/>
      <w:lvlJc w:val="left"/>
      <w:pPr>
        <w:ind w:left="425" w:hanging="425"/>
      </w:pPr>
      <w:rPr>
        <w:rFonts w:hint="default"/>
      </w:rPr>
    </w:lvl>
  </w:abstractNum>
  <w:abstractNum w:abstractNumId="18">
    <w:nsid w:val="3D2537F8"/>
    <w:multiLevelType w:val="singleLevel"/>
    <w:tmpl w:val="3D2537F8"/>
    <w:lvl w:ilvl="0" w:tentative="0">
      <w:start w:val="1"/>
      <w:numFmt w:val="decimal"/>
      <w:lvlText w:val="%1."/>
      <w:lvlJc w:val="left"/>
      <w:pPr>
        <w:ind w:left="425" w:hanging="425"/>
      </w:pPr>
      <w:rPr>
        <w:rFonts w:hint="default"/>
        <w:color w:val="auto"/>
      </w:rPr>
    </w:lvl>
  </w:abstractNum>
  <w:abstractNum w:abstractNumId="19">
    <w:nsid w:val="4A8DA4C5"/>
    <w:multiLevelType w:val="singleLevel"/>
    <w:tmpl w:val="4A8DA4C5"/>
    <w:lvl w:ilvl="0" w:tentative="0">
      <w:start w:val="1"/>
      <w:numFmt w:val="bullet"/>
      <w:lvlText w:val=""/>
      <w:lvlJc w:val="left"/>
      <w:pPr>
        <w:ind w:left="0" w:firstLine="0"/>
      </w:pPr>
      <w:rPr>
        <w:rFonts w:hint="default" w:ascii="Wingdings" w:hAnsi="Wingdings"/>
      </w:rPr>
    </w:lvl>
  </w:abstractNum>
  <w:abstractNum w:abstractNumId="20">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520018B0"/>
    <w:multiLevelType w:val="multilevel"/>
    <w:tmpl w:val="520018B0"/>
    <w:lvl w:ilvl="0" w:tentative="0">
      <w:start w:val="1"/>
      <w:numFmt w:val="decimal"/>
      <w:pStyle w:val="75"/>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2">
    <w:nsid w:val="560F40FB"/>
    <w:multiLevelType w:val="multilevel"/>
    <w:tmpl w:val="560F40FB"/>
    <w:lvl w:ilvl="0" w:tentative="0">
      <w:start w:val="1"/>
      <w:numFmt w:val="lowerLetter"/>
      <w:pStyle w:val="102"/>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3">
    <w:nsid w:val="56D20133"/>
    <w:multiLevelType w:val="multilevel"/>
    <w:tmpl w:val="56D20133"/>
    <w:lvl w:ilvl="0" w:tentative="0">
      <w:start w:val="1"/>
      <w:numFmt w:val="chineseCountingThousand"/>
      <w:pStyle w:val="74"/>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4">
    <w:nsid w:val="5983D379"/>
    <w:multiLevelType w:val="singleLevel"/>
    <w:tmpl w:val="5983D379"/>
    <w:lvl w:ilvl="0" w:tentative="0">
      <w:start w:val="1"/>
      <w:numFmt w:val="decimal"/>
      <w:lvlText w:val="(%1)"/>
      <w:lvlJc w:val="left"/>
      <w:pPr>
        <w:ind w:left="425" w:hanging="425"/>
      </w:pPr>
      <w:rPr>
        <w:rFonts w:hint="default"/>
      </w:rPr>
    </w:lvl>
  </w:abstractNum>
  <w:abstractNum w:abstractNumId="25">
    <w:nsid w:val="656A6EAE"/>
    <w:multiLevelType w:val="multilevel"/>
    <w:tmpl w:val="656A6EAE"/>
    <w:lvl w:ilvl="0" w:tentative="0">
      <w:start w:val="1"/>
      <w:numFmt w:val="chineseCountingThousand"/>
      <w:pStyle w:val="73"/>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6">
    <w:nsid w:val="6F1E2D3E"/>
    <w:multiLevelType w:val="multilevel"/>
    <w:tmpl w:val="6F1E2D3E"/>
    <w:lvl w:ilvl="0" w:tentative="0">
      <w:start w:val="1"/>
      <w:numFmt w:val="decimal"/>
      <w:lvlText w:val="%1、"/>
      <w:lvlJc w:val="left"/>
      <w:pPr>
        <w:ind w:left="988" w:hanging="420"/>
      </w:pPr>
      <w:rPr>
        <w:rFonts w:hint="eastAsia"/>
      </w:rPr>
    </w:lvl>
    <w:lvl w:ilvl="1" w:tentative="0">
      <w:start w:val="1"/>
      <w:numFmt w:val="lowerLetter"/>
      <w:lvlText w:val="%2)"/>
      <w:lvlJc w:val="left"/>
      <w:pPr>
        <w:ind w:left="1408" w:hanging="420"/>
      </w:pPr>
    </w:lvl>
    <w:lvl w:ilvl="2" w:tentative="0">
      <w:start w:val="1"/>
      <w:numFmt w:val="lowerRoman"/>
      <w:lvlText w:val="%3."/>
      <w:lvlJc w:val="right"/>
      <w:pPr>
        <w:ind w:left="1828" w:hanging="420"/>
      </w:pPr>
    </w:lvl>
    <w:lvl w:ilvl="3" w:tentative="0">
      <w:start w:val="1"/>
      <w:numFmt w:val="decimal"/>
      <w:lvlText w:val="%4."/>
      <w:lvlJc w:val="left"/>
      <w:pPr>
        <w:ind w:left="2248" w:hanging="420"/>
      </w:pPr>
    </w:lvl>
    <w:lvl w:ilvl="4" w:tentative="0">
      <w:start w:val="1"/>
      <w:numFmt w:val="lowerLetter"/>
      <w:lvlText w:val="%5)"/>
      <w:lvlJc w:val="left"/>
      <w:pPr>
        <w:ind w:left="2668" w:hanging="420"/>
      </w:pPr>
    </w:lvl>
    <w:lvl w:ilvl="5" w:tentative="0">
      <w:start w:val="1"/>
      <w:numFmt w:val="lowerRoman"/>
      <w:lvlText w:val="%6."/>
      <w:lvlJc w:val="right"/>
      <w:pPr>
        <w:ind w:left="3088" w:hanging="420"/>
      </w:pPr>
    </w:lvl>
    <w:lvl w:ilvl="6" w:tentative="0">
      <w:start w:val="1"/>
      <w:numFmt w:val="decimal"/>
      <w:lvlText w:val="%7."/>
      <w:lvlJc w:val="left"/>
      <w:pPr>
        <w:ind w:left="3508" w:hanging="420"/>
      </w:pPr>
    </w:lvl>
    <w:lvl w:ilvl="7" w:tentative="0">
      <w:start w:val="1"/>
      <w:numFmt w:val="lowerLetter"/>
      <w:lvlText w:val="%8)"/>
      <w:lvlJc w:val="left"/>
      <w:pPr>
        <w:ind w:left="3928" w:hanging="420"/>
      </w:pPr>
    </w:lvl>
    <w:lvl w:ilvl="8" w:tentative="0">
      <w:start w:val="1"/>
      <w:numFmt w:val="lowerRoman"/>
      <w:lvlText w:val="%9."/>
      <w:lvlJc w:val="right"/>
      <w:pPr>
        <w:ind w:left="4348" w:hanging="420"/>
      </w:pPr>
    </w:lvl>
  </w:abstractNum>
  <w:abstractNum w:abstractNumId="27">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20"/>
  </w:num>
  <w:num w:numId="2">
    <w:abstractNumId w:val="25"/>
  </w:num>
  <w:num w:numId="3">
    <w:abstractNumId w:val="23"/>
  </w:num>
  <w:num w:numId="4">
    <w:abstractNumId w:val="21"/>
  </w:num>
  <w:num w:numId="5">
    <w:abstractNumId w:val="12"/>
  </w:num>
  <w:num w:numId="6">
    <w:abstractNumId w:val="13"/>
  </w:num>
  <w:num w:numId="7">
    <w:abstractNumId w:val="14"/>
  </w:num>
  <w:num w:numId="8">
    <w:abstractNumId w:val="22"/>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8"/>
  </w:num>
  <w:num w:numId="12">
    <w:abstractNumId w:val="5"/>
  </w:num>
  <w:num w:numId="13">
    <w:abstractNumId w:val="0"/>
  </w:num>
  <w:num w:numId="14">
    <w:abstractNumId w:val="2"/>
  </w:num>
  <w:num w:numId="15">
    <w:abstractNumId w:val="24"/>
  </w:num>
  <w:num w:numId="16">
    <w:abstractNumId w:val="27"/>
  </w:num>
  <w:num w:numId="17">
    <w:abstractNumId w:val="9"/>
  </w:num>
  <w:num w:numId="18">
    <w:abstractNumId w:val="8"/>
  </w:num>
  <w:num w:numId="19">
    <w:abstractNumId w:val="3"/>
  </w:num>
  <w:num w:numId="20">
    <w:abstractNumId w:val="1"/>
  </w:num>
  <w:num w:numId="21">
    <w:abstractNumId w:val="6"/>
  </w:num>
  <w:num w:numId="22">
    <w:abstractNumId w:val="11"/>
  </w:num>
  <w:num w:numId="23">
    <w:abstractNumId w:val="10"/>
  </w:num>
  <w:num w:numId="24">
    <w:abstractNumId w:val="19"/>
  </w:num>
  <w:num w:numId="25">
    <w:abstractNumId w:val="17"/>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6"/>
  </w:num>
  <w:num w:numId="29">
    <w:abstractNumId w:val="15"/>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A74"/>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0DB"/>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83"/>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0FD0"/>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1E6D"/>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517A"/>
    <w:rsid w:val="004177E9"/>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6771E"/>
    <w:rsid w:val="00471B0F"/>
    <w:rsid w:val="0047223E"/>
    <w:rsid w:val="00472462"/>
    <w:rsid w:val="0047256B"/>
    <w:rsid w:val="00472EA5"/>
    <w:rsid w:val="00473468"/>
    <w:rsid w:val="00474213"/>
    <w:rsid w:val="004742E3"/>
    <w:rsid w:val="004748B0"/>
    <w:rsid w:val="00474F95"/>
    <w:rsid w:val="004752F0"/>
    <w:rsid w:val="004757DF"/>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0B0E"/>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DB0"/>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175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612"/>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C01"/>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606"/>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6C4"/>
    <w:rsid w:val="007C7FA8"/>
    <w:rsid w:val="007D0B58"/>
    <w:rsid w:val="007D1F80"/>
    <w:rsid w:val="007D1FB0"/>
    <w:rsid w:val="007D2B27"/>
    <w:rsid w:val="007D3717"/>
    <w:rsid w:val="007D3DD0"/>
    <w:rsid w:val="007D4261"/>
    <w:rsid w:val="007D46BA"/>
    <w:rsid w:val="007D46E6"/>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778"/>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2DA"/>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3AC"/>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2F12"/>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1EB"/>
    <w:rsid w:val="009765A3"/>
    <w:rsid w:val="00977FAD"/>
    <w:rsid w:val="009805DB"/>
    <w:rsid w:val="009806C9"/>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4D7"/>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37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8EA"/>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34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3BF7"/>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A5E"/>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18F"/>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0E1"/>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356C"/>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4F01"/>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23DE"/>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1A1A"/>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4412"/>
    <w:rsid w:val="00E5514B"/>
    <w:rsid w:val="00E553C1"/>
    <w:rsid w:val="00E55A0F"/>
    <w:rsid w:val="00E562CD"/>
    <w:rsid w:val="00E56CDD"/>
    <w:rsid w:val="00E56FDC"/>
    <w:rsid w:val="00E605C0"/>
    <w:rsid w:val="00E61836"/>
    <w:rsid w:val="00E62771"/>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3EF"/>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6E1"/>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5C0B"/>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D55"/>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2CC3DCA"/>
    <w:rsid w:val="02FE76EF"/>
    <w:rsid w:val="03F033B0"/>
    <w:rsid w:val="057C1D39"/>
    <w:rsid w:val="05891259"/>
    <w:rsid w:val="08633479"/>
    <w:rsid w:val="09FD566F"/>
    <w:rsid w:val="0CB51572"/>
    <w:rsid w:val="0D5D74BE"/>
    <w:rsid w:val="0E4D31E3"/>
    <w:rsid w:val="10DC2AA3"/>
    <w:rsid w:val="10FA7C8C"/>
    <w:rsid w:val="130B198F"/>
    <w:rsid w:val="16A918E4"/>
    <w:rsid w:val="17D966D6"/>
    <w:rsid w:val="188C6CEB"/>
    <w:rsid w:val="1BC71D3B"/>
    <w:rsid w:val="1C59115B"/>
    <w:rsid w:val="1FB23E60"/>
    <w:rsid w:val="22432092"/>
    <w:rsid w:val="22C5630B"/>
    <w:rsid w:val="23EC0BA6"/>
    <w:rsid w:val="24701A48"/>
    <w:rsid w:val="268B0052"/>
    <w:rsid w:val="27743C90"/>
    <w:rsid w:val="29CA2459"/>
    <w:rsid w:val="2B271A58"/>
    <w:rsid w:val="2B6304A7"/>
    <w:rsid w:val="2CF6734C"/>
    <w:rsid w:val="2D663463"/>
    <w:rsid w:val="2E2C594D"/>
    <w:rsid w:val="2EF96EE4"/>
    <w:rsid w:val="328F52DA"/>
    <w:rsid w:val="36254FE4"/>
    <w:rsid w:val="372F61E0"/>
    <w:rsid w:val="39322FCA"/>
    <w:rsid w:val="3AB90991"/>
    <w:rsid w:val="3B706131"/>
    <w:rsid w:val="3E6F041E"/>
    <w:rsid w:val="4275481E"/>
    <w:rsid w:val="428B617A"/>
    <w:rsid w:val="433D7BDC"/>
    <w:rsid w:val="437E1813"/>
    <w:rsid w:val="45BD47FC"/>
    <w:rsid w:val="45CC5FB2"/>
    <w:rsid w:val="46B75BA8"/>
    <w:rsid w:val="48C97955"/>
    <w:rsid w:val="49880C8F"/>
    <w:rsid w:val="4A8835F7"/>
    <w:rsid w:val="4B592E71"/>
    <w:rsid w:val="50526B81"/>
    <w:rsid w:val="51966639"/>
    <w:rsid w:val="52B9239A"/>
    <w:rsid w:val="54BD78FD"/>
    <w:rsid w:val="563C36E8"/>
    <w:rsid w:val="58A86DDE"/>
    <w:rsid w:val="59154AD7"/>
    <w:rsid w:val="5ADF548D"/>
    <w:rsid w:val="5D5C60B4"/>
    <w:rsid w:val="63F04A69"/>
    <w:rsid w:val="65F1254E"/>
    <w:rsid w:val="66A50B1E"/>
    <w:rsid w:val="67B2063C"/>
    <w:rsid w:val="67C97AC3"/>
    <w:rsid w:val="67E30EC1"/>
    <w:rsid w:val="6A4E3B2B"/>
    <w:rsid w:val="6B481C3B"/>
    <w:rsid w:val="6C1331A3"/>
    <w:rsid w:val="6CA84BC1"/>
    <w:rsid w:val="6D3E4756"/>
    <w:rsid w:val="6FC523EB"/>
    <w:rsid w:val="71877F9D"/>
    <w:rsid w:val="72895F2E"/>
    <w:rsid w:val="729553CF"/>
    <w:rsid w:val="72C02EBE"/>
    <w:rsid w:val="72C507AD"/>
    <w:rsid w:val="72D028D8"/>
    <w:rsid w:val="745D47C3"/>
    <w:rsid w:val="76AC3757"/>
    <w:rsid w:val="7CB93F8E"/>
    <w:rsid w:val="7CF66B46"/>
    <w:rsid w:val="7DBD2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qFormat="1" w:unhideWhenUsed="0" w:uiPriority="0" w:semiHidden="0"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8"/>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70"/>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4"/>
    <w:semiHidden/>
    <w:qFormat/>
    <w:uiPriority w:val="0"/>
    <w:pPr>
      <w:keepNext/>
      <w:keepLines/>
      <w:spacing w:line="416" w:lineRule="auto"/>
      <w:outlineLvl w:val="2"/>
    </w:pPr>
    <w:rPr>
      <w:b/>
      <w:bCs/>
      <w:sz w:val="32"/>
      <w:szCs w:val="32"/>
    </w:rPr>
  </w:style>
  <w:style w:type="paragraph" w:styleId="5">
    <w:name w:val="heading 4"/>
    <w:basedOn w:val="1"/>
    <w:next w:val="1"/>
    <w:link w:val="78"/>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79"/>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3">
    <w:name w:val="Default Paragraph Font"/>
    <w:semiHidden/>
    <w:unhideWhenUsed/>
    <w:uiPriority w:val="1"/>
  </w:style>
  <w:style w:type="table" w:default="1" w:styleId="31">
    <w:name w:val="Normal Table"/>
    <w:semiHidden/>
    <w:unhideWhenUsed/>
    <w:uiPriority w:val="99"/>
    <w:tblPr>
      <w:tblCellMar>
        <w:top w:w="0" w:type="dxa"/>
        <w:left w:w="108" w:type="dxa"/>
        <w:bottom w:w="0" w:type="dxa"/>
        <w:right w:w="108" w:type="dxa"/>
      </w:tblCellMar>
    </w:tblPr>
  </w:style>
  <w:style w:type="paragraph" w:styleId="7">
    <w:name w:val="E-mail Signature"/>
    <w:basedOn w:val="1"/>
    <w:link w:val="105"/>
    <w:semiHidden/>
    <w:qFormat/>
    <w:uiPriority w:val="99"/>
    <w:pPr>
      <w:spacing w:after="200" w:line="276" w:lineRule="auto"/>
      <w:jc w:val="left"/>
    </w:pPr>
    <w:rPr>
      <w:rFonts w:ascii="Calibri" w:hAnsi="Calibri"/>
      <w:kern w:val="0"/>
      <w:szCs w:val="21"/>
    </w:rPr>
  </w:style>
  <w:style w:type="paragraph" w:styleId="8">
    <w:name w:val="Normal Indent"/>
    <w:basedOn w:val="1"/>
    <w:qFormat/>
    <w:uiPriority w:val="0"/>
    <w:pPr>
      <w:autoSpaceDE w:val="0"/>
      <w:autoSpaceDN w:val="0"/>
      <w:adjustRightInd w:val="0"/>
      <w:snapToGrid w:val="0"/>
      <w:spacing w:line="300" w:lineRule="auto"/>
      <w:ind w:firstLine="200" w:firstLineChars="200"/>
      <w:jc w:val="left"/>
    </w:pPr>
    <w:rPr>
      <w:rFonts w:ascii="宋体"/>
      <w:kern w:val="0"/>
      <w:sz w:val="24"/>
    </w:rPr>
  </w:style>
  <w:style w:type="paragraph" w:styleId="9">
    <w:name w:val="caption"/>
    <w:basedOn w:val="1"/>
    <w:next w:val="1"/>
    <w:semiHidden/>
    <w:qFormat/>
    <w:uiPriority w:val="98"/>
    <w:pPr>
      <w:spacing w:before="152" w:after="160"/>
    </w:pPr>
    <w:rPr>
      <w:rFonts w:ascii="Arial" w:hAnsi="Arial" w:eastAsia="黑体" w:cs="Arial"/>
      <w:sz w:val="20"/>
    </w:rPr>
  </w:style>
  <w:style w:type="paragraph" w:styleId="10">
    <w:name w:val="Document Map"/>
    <w:basedOn w:val="1"/>
    <w:link w:val="94"/>
    <w:semiHidden/>
    <w:qFormat/>
    <w:uiPriority w:val="0"/>
    <w:pPr>
      <w:adjustRightInd w:val="0"/>
      <w:spacing w:line="312" w:lineRule="atLeast"/>
      <w:textAlignment w:val="baseline"/>
    </w:pPr>
    <w:rPr>
      <w:rFonts w:ascii="宋体"/>
      <w:kern w:val="0"/>
      <w:sz w:val="18"/>
      <w:szCs w:val="18"/>
    </w:rPr>
  </w:style>
  <w:style w:type="paragraph" w:styleId="11">
    <w:name w:val="annotation text"/>
    <w:basedOn w:val="1"/>
    <w:link w:val="46"/>
    <w:qFormat/>
    <w:uiPriority w:val="99"/>
    <w:pPr>
      <w:jc w:val="left"/>
    </w:pPr>
  </w:style>
  <w:style w:type="paragraph" w:styleId="12">
    <w:name w:val="Body Text"/>
    <w:basedOn w:val="1"/>
    <w:link w:val="42"/>
    <w:semiHidden/>
    <w:qFormat/>
    <w:uiPriority w:val="98"/>
    <w:rPr>
      <w:rFonts w:ascii="仿宋_GB2312" w:eastAsia="仿宋_GB2312"/>
      <w:sz w:val="32"/>
    </w:rPr>
  </w:style>
  <w:style w:type="paragraph" w:styleId="13">
    <w:name w:val="Body Text Indent"/>
    <w:basedOn w:val="1"/>
    <w:link w:val="49"/>
    <w:semiHidden/>
    <w:qFormat/>
    <w:uiPriority w:val="0"/>
    <w:pPr>
      <w:spacing w:after="120"/>
      <w:ind w:left="420" w:leftChars="200"/>
    </w:pPr>
    <w:rPr>
      <w:rFonts w:ascii="Calibri" w:hAnsi="Calibri"/>
      <w:szCs w:val="22"/>
    </w:rPr>
  </w:style>
  <w:style w:type="paragraph" w:styleId="14">
    <w:name w:val="toc 3"/>
    <w:basedOn w:val="1"/>
    <w:next w:val="1"/>
    <w:semiHidden/>
    <w:qFormat/>
    <w:uiPriority w:val="39"/>
    <w:pPr>
      <w:adjustRightInd w:val="0"/>
      <w:spacing w:line="312" w:lineRule="atLeast"/>
      <w:ind w:left="840" w:leftChars="400"/>
      <w:textAlignment w:val="baseline"/>
    </w:pPr>
    <w:rPr>
      <w:kern w:val="0"/>
      <w:sz w:val="24"/>
    </w:rPr>
  </w:style>
  <w:style w:type="paragraph" w:styleId="15">
    <w:name w:val="Plain Text"/>
    <w:basedOn w:val="1"/>
    <w:link w:val="51"/>
    <w:qFormat/>
    <w:uiPriority w:val="0"/>
    <w:rPr>
      <w:rFonts w:ascii="宋体" w:hAnsi="Courier New"/>
    </w:rPr>
  </w:style>
  <w:style w:type="paragraph" w:styleId="16">
    <w:name w:val="Date"/>
    <w:basedOn w:val="1"/>
    <w:next w:val="1"/>
    <w:link w:val="88"/>
    <w:semiHidden/>
    <w:qFormat/>
    <w:uiPriority w:val="0"/>
    <w:pPr>
      <w:adjustRightInd w:val="0"/>
      <w:spacing w:line="312" w:lineRule="atLeast"/>
      <w:ind w:left="100" w:leftChars="2500"/>
      <w:textAlignment w:val="baseline"/>
    </w:pPr>
    <w:rPr>
      <w:kern w:val="0"/>
      <w:sz w:val="24"/>
    </w:rPr>
  </w:style>
  <w:style w:type="paragraph" w:styleId="17">
    <w:name w:val="Body Text Indent 2"/>
    <w:basedOn w:val="1"/>
    <w:link w:val="87"/>
    <w:semiHidden/>
    <w:qFormat/>
    <w:uiPriority w:val="0"/>
    <w:pPr>
      <w:adjustRightInd w:val="0"/>
      <w:spacing w:after="120" w:line="480" w:lineRule="auto"/>
      <w:ind w:left="420" w:leftChars="200"/>
      <w:textAlignment w:val="baseline"/>
    </w:pPr>
    <w:rPr>
      <w:kern w:val="0"/>
      <w:sz w:val="24"/>
    </w:rPr>
  </w:style>
  <w:style w:type="paragraph" w:styleId="18">
    <w:name w:val="Balloon Text"/>
    <w:basedOn w:val="1"/>
    <w:link w:val="48"/>
    <w:semiHidden/>
    <w:qFormat/>
    <w:uiPriority w:val="0"/>
    <w:rPr>
      <w:sz w:val="18"/>
      <w:szCs w:val="18"/>
    </w:rPr>
  </w:style>
  <w:style w:type="paragraph" w:styleId="19">
    <w:name w:val="footer"/>
    <w:basedOn w:val="1"/>
    <w:link w:val="43"/>
    <w:semiHidden/>
    <w:qFormat/>
    <w:uiPriority w:val="0"/>
    <w:pPr>
      <w:tabs>
        <w:tab w:val="center" w:pos="4153"/>
        <w:tab w:val="right" w:pos="8306"/>
      </w:tabs>
      <w:snapToGrid w:val="0"/>
      <w:jc w:val="left"/>
    </w:pPr>
    <w:rPr>
      <w:sz w:val="18"/>
      <w:szCs w:val="18"/>
    </w:rPr>
  </w:style>
  <w:style w:type="paragraph" w:styleId="20">
    <w:name w:val="header"/>
    <w:basedOn w:val="1"/>
    <w:link w:val="53"/>
    <w:semiHidden/>
    <w:qFormat/>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2">
    <w:name w:val="List"/>
    <w:basedOn w:val="1"/>
    <w:qFormat/>
    <w:uiPriority w:val="0"/>
    <w:pPr>
      <w:ind w:left="200" w:hanging="200" w:hangingChars="200"/>
    </w:pPr>
    <w:rPr>
      <w:szCs w:val="21"/>
    </w:rPr>
  </w:style>
  <w:style w:type="paragraph" w:styleId="23">
    <w:name w:val="Body Text Indent 3"/>
    <w:basedOn w:val="1"/>
    <w:link w:val="84"/>
    <w:semiHidden/>
    <w:qFormat/>
    <w:uiPriority w:val="0"/>
    <w:pPr>
      <w:spacing w:line="360" w:lineRule="auto"/>
      <w:ind w:left="1347" w:leftChars="413" w:hanging="480" w:hangingChars="200"/>
    </w:pPr>
    <w:rPr>
      <w:rFonts w:ascii="宋体" w:hAnsi="宋体"/>
      <w:color w:val="FF0000"/>
      <w:sz w:val="24"/>
      <w:szCs w:val="24"/>
    </w:rPr>
  </w:style>
  <w:style w:type="paragraph" w:styleId="24">
    <w:name w:val="index 9"/>
    <w:basedOn w:val="1"/>
    <w:next w:val="1"/>
    <w:autoRedefine/>
    <w:semiHidden/>
    <w:qFormat/>
    <w:uiPriority w:val="98"/>
    <w:pPr>
      <w:ind w:left="1600" w:leftChars="1600"/>
    </w:pPr>
  </w:style>
  <w:style w:type="paragraph" w:styleId="25">
    <w:name w:val="toc 2"/>
    <w:basedOn w:val="1"/>
    <w:next w:val="1"/>
    <w:qFormat/>
    <w:uiPriority w:val="39"/>
    <w:pPr>
      <w:ind w:left="420" w:leftChars="200"/>
    </w:pPr>
  </w:style>
  <w:style w:type="paragraph" w:styleId="26">
    <w:name w:val="Message Header"/>
    <w:basedOn w:val="1"/>
    <w:link w:val="109"/>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7">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8">
    <w:name w:val="Title"/>
    <w:basedOn w:val="1"/>
    <w:next w:val="1"/>
    <w:link w:val="71"/>
    <w:semiHidden/>
    <w:qFormat/>
    <w:uiPriority w:val="0"/>
    <w:pPr>
      <w:spacing w:before="240" w:after="60"/>
      <w:jc w:val="center"/>
      <w:outlineLvl w:val="0"/>
    </w:pPr>
    <w:rPr>
      <w:rFonts w:eastAsia="黑体" w:asciiTheme="majorHAnsi" w:hAnsiTheme="majorHAnsi" w:cstheme="majorBidi"/>
      <w:b/>
      <w:bCs/>
      <w:sz w:val="36"/>
      <w:szCs w:val="32"/>
    </w:rPr>
  </w:style>
  <w:style w:type="paragraph" w:styleId="29">
    <w:name w:val="annotation subject"/>
    <w:basedOn w:val="11"/>
    <w:next w:val="11"/>
    <w:link w:val="54"/>
    <w:semiHidden/>
    <w:qFormat/>
    <w:uiPriority w:val="98"/>
    <w:rPr>
      <w:b/>
      <w:bCs/>
    </w:rPr>
  </w:style>
  <w:style w:type="paragraph" w:styleId="30">
    <w:name w:val="Body Text First Indent 2"/>
    <w:basedOn w:val="13"/>
    <w:next w:val="25"/>
    <w:qFormat/>
    <w:uiPriority w:val="0"/>
    <w:pPr>
      <w:spacing w:line="276" w:lineRule="auto"/>
      <w:ind w:left="200" w:firstLine="200" w:firstLineChars="200"/>
      <w:jc w:val="left"/>
    </w:pPr>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semiHidden/>
    <w:qFormat/>
    <w:uiPriority w:val="98"/>
    <w:rPr>
      <w:b/>
    </w:rPr>
  </w:style>
  <w:style w:type="character" w:styleId="35">
    <w:name w:val="page number"/>
    <w:basedOn w:val="33"/>
    <w:semiHidden/>
    <w:qFormat/>
    <w:uiPriority w:val="0"/>
  </w:style>
  <w:style w:type="character" w:styleId="36">
    <w:name w:val="FollowedHyperlink"/>
    <w:semiHidden/>
    <w:qFormat/>
    <w:uiPriority w:val="98"/>
    <w:rPr>
      <w:color w:val="800080"/>
      <w:u w:val="single"/>
    </w:rPr>
  </w:style>
  <w:style w:type="character" w:styleId="37">
    <w:name w:val="Emphasis"/>
    <w:semiHidden/>
    <w:qFormat/>
    <w:uiPriority w:val="98"/>
    <w:rPr>
      <w:i/>
      <w:iCs/>
    </w:rPr>
  </w:style>
  <w:style w:type="character" w:styleId="38">
    <w:name w:val="Hyperlink"/>
    <w:qFormat/>
    <w:uiPriority w:val="99"/>
    <w:rPr>
      <w:rFonts w:cs="Times New Roman"/>
      <w:color w:val="1F4F88"/>
      <w:u w:val="none"/>
    </w:rPr>
  </w:style>
  <w:style w:type="character" w:styleId="39">
    <w:name w:val="annotation reference"/>
    <w:semiHidden/>
    <w:qFormat/>
    <w:uiPriority w:val="98"/>
    <w:rPr>
      <w:sz w:val="21"/>
      <w:szCs w:val="21"/>
    </w:rPr>
  </w:style>
  <w:style w:type="character" w:customStyle="1" w:styleId="40">
    <w:name w:val="Char Char3"/>
    <w:semiHidden/>
    <w:qFormat/>
    <w:uiPriority w:val="98"/>
    <w:rPr>
      <w:rFonts w:ascii="宋体" w:hAnsi="Courier New" w:eastAsia="宋体"/>
      <w:kern w:val="2"/>
      <w:sz w:val="21"/>
      <w:lang w:val="en-US" w:eastAsia="zh-CN" w:bidi="ar-SA"/>
    </w:rPr>
  </w:style>
  <w:style w:type="character" w:customStyle="1" w:styleId="41">
    <w:name w:val="纯文本 Char"/>
    <w:semiHidden/>
    <w:qFormat/>
    <w:uiPriority w:val="98"/>
    <w:rPr>
      <w:rFonts w:ascii="宋体" w:hAnsi="Courier New" w:eastAsia="宋体"/>
      <w:kern w:val="2"/>
      <w:sz w:val="21"/>
      <w:lang w:val="en-US" w:eastAsia="zh-CN" w:bidi="ar-SA"/>
    </w:rPr>
  </w:style>
  <w:style w:type="character" w:customStyle="1" w:styleId="42">
    <w:name w:val="正文文本 字符"/>
    <w:link w:val="12"/>
    <w:semiHidden/>
    <w:qFormat/>
    <w:uiPriority w:val="98"/>
    <w:rPr>
      <w:rFonts w:ascii="仿宋_GB2312" w:eastAsia="仿宋_GB2312"/>
      <w:kern w:val="2"/>
      <w:sz w:val="32"/>
    </w:rPr>
  </w:style>
  <w:style w:type="character" w:customStyle="1" w:styleId="43">
    <w:name w:val="页脚 字符"/>
    <w:link w:val="19"/>
    <w:semiHidden/>
    <w:qFormat/>
    <w:uiPriority w:val="0"/>
    <w:rPr>
      <w:kern w:val="2"/>
      <w:sz w:val="18"/>
      <w:szCs w:val="18"/>
    </w:rPr>
  </w:style>
  <w:style w:type="character" w:customStyle="1" w:styleId="44">
    <w:name w:val="标题 3 字符"/>
    <w:link w:val="4"/>
    <w:semiHidden/>
    <w:qFormat/>
    <w:uiPriority w:val="0"/>
    <w:rPr>
      <w:b/>
      <w:bCs/>
      <w:kern w:val="2"/>
      <w:sz w:val="32"/>
      <w:szCs w:val="32"/>
    </w:rPr>
  </w:style>
  <w:style w:type="character" w:customStyle="1" w:styleId="45">
    <w:name w:val="正文文本 Char"/>
    <w:semiHidden/>
    <w:qFormat/>
    <w:uiPriority w:val="98"/>
    <w:rPr>
      <w:rFonts w:ascii="仿宋_GB2312" w:eastAsia="仿宋_GB2312"/>
      <w:kern w:val="2"/>
      <w:sz w:val="32"/>
    </w:rPr>
  </w:style>
  <w:style w:type="character" w:customStyle="1" w:styleId="46">
    <w:name w:val="批注文字 字符"/>
    <w:link w:val="11"/>
    <w:qFormat/>
    <w:uiPriority w:val="99"/>
    <w:rPr>
      <w:kern w:val="2"/>
      <w:sz w:val="21"/>
    </w:rPr>
  </w:style>
  <w:style w:type="character" w:customStyle="1" w:styleId="47">
    <w:name w:val="apple-converted-space"/>
    <w:basedOn w:val="33"/>
    <w:semiHidden/>
    <w:qFormat/>
    <w:uiPriority w:val="98"/>
  </w:style>
  <w:style w:type="character" w:customStyle="1" w:styleId="48">
    <w:name w:val="批注框文本 字符"/>
    <w:link w:val="18"/>
    <w:semiHidden/>
    <w:qFormat/>
    <w:uiPriority w:val="98"/>
    <w:rPr>
      <w:kern w:val="2"/>
      <w:sz w:val="18"/>
      <w:szCs w:val="18"/>
    </w:rPr>
  </w:style>
  <w:style w:type="character" w:customStyle="1" w:styleId="49">
    <w:name w:val="正文文本缩进 字符"/>
    <w:link w:val="13"/>
    <w:semiHidden/>
    <w:qFormat/>
    <w:uiPriority w:val="0"/>
    <w:rPr>
      <w:rFonts w:ascii="Calibri" w:hAnsi="Calibri"/>
      <w:kern w:val="2"/>
      <w:sz w:val="21"/>
      <w:szCs w:val="22"/>
    </w:rPr>
  </w:style>
  <w:style w:type="character" w:customStyle="1" w:styleId="50">
    <w:name w:val="Char Char5"/>
    <w:semiHidden/>
    <w:qFormat/>
    <w:uiPriority w:val="98"/>
    <w:rPr>
      <w:rFonts w:ascii="宋体" w:hAnsi="Courier New" w:eastAsia="宋体"/>
      <w:kern w:val="2"/>
      <w:sz w:val="21"/>
      <w:lang w:val="en-US" w:eastAsia="zh-CN" w:bidi="ar-SA"/>
    </w:rPr>
  </w:style>
  <w:style w:type="character" w:customStyle="1" w:styleId="51">
    <w:name w:val="纯文本 字符1"/>
    <w:link w:val="15"/>
    <w:qFormat/>
    <w:uiPriority w:val="0"/>
    <w:rPr>
      <w:rFonts w:ascii="宋体" w:hAnsi="Courier New"/>
      <w:kern w:val="2"/>
      <w:sz w:val="21"/>
    </w:rPr>
  </w:style>
  <w:style w:type="character" w:customStyle="1" w:styleId="52">
    <w:name w:val="纯文本 字符"/>
    <w:semiHidden/>
    <w:qFormat/>
    <w:uiPriority w:val="98"/>
    <w:rPr>
      <w:rFonts w:ascii="宋体" w:hAnsi="Courier New" w:eastAsia="宋体"/>
    </w:rPr>
  </w:style>
  <w:style w:type="character" w:customStyle="1" w:styleId="53">
    <w:name w:val="页眉 字符"/>
    <w:link w:val="20"/>
    <w:semiHidden/>
    <w:qFormat/>
    <w:uiPriority w:val="0"/>
    <w:rPr>
      <w:kern w:val="2"/>
      <w:sz w:val="18"/>
      <w:szCs w:val="18"/>
    </w:rPr>
  </w:style>
  <w:style w:type="character" w:customStyle="1" w:styleId="54">
    <w:name w:val="批注主题 字符"/>
    <w:link w:val="29"/>
    <w:semiHidden/>
    <w:qFormat/>
    <w:uiPriority w:val="98"/>
    <w:rPr>
      <w:b/>
      <w:bCs/>
      <w:kern w:val="2"/>
      <w:sz w:val="21"/>
    </w:rPr>
  </w:style>
  <w:style w:type="character" w:customStyle="1" w:styleId="55">
    <w:name w:val="Char Char2"/>
    <w:semiHidden/>
    <w:qFormat/>
    <w:uiPriority w:val="98"/>
    <w:rPr>
      <w:rFonts w:ascii="宋体" w:hAnsi="Courier New" w:cs="宋体"/>
      <w:kern w:val="2"/>
      <w:sz w:val="21"/>
      <w:szCs w:val="21"/>
    </w:rPr>
  </w:style>
  <w:style w:type="character" w:customStyle="1" w:styleId="56">
    <w:name w:val="HTML Markup"/>
    <w:semiHidden/>
    <w:qFormat/>
    <w:uiPriority w:val="98"/>
    <w:rPr>
      <w:vanish/>
      <w:color w:val="FF0000"/>
    </w:rPr>
  </w:style>
  <w:style w:type="character" w:customStyle="1" w:styleId="57">
    <w:name w:val="纯文本 Char3"/>
    <w:semiHidden/>
    <w:qFormat/>
    <w:uiPriority w:val="98"/>
    <w:rPr>
      <w:rFonts w:ascii="宋体" w:hAnsi="Courier New" w:eastAsia="宋体"/>
      <w:kern w:val="2"/>
      <w:sz w:val="21"/>
      <w:lang w:val="en-US" w:eastAsia="zh-CN" w:bidi="ar-SA"/>
    </w:rPr>
  </w:style>
  <w:style w:type="character" w:customStyle="1" w:styleId="58">
    <w:name w:val="正文文本缩进 Char"/>
    <w:link w:val="59"/>
    <w:semiHidden/>
    <w:qFormat/>
    <w:uiPriority w:val="98"/>
    <w:rPr>
      <w:kern w:val="2"/>
      <w:sz w:val="21"/>
    </w:rPr>
  </w:style>
  <w:style w:type="paragraph" w:customStyle="1" w:styleId="59">
    <w:name w:val="正文文本缩进1"/>
    <w:basedOn w:val="1"/>
    <w:link w:val="58"/>
    <w:semiHidden/>
    <w:qFormat/>
    <w:uiPriority w:val="98"/>
    <w:pPr>
      <w:spacing w:after="120"/>
      <w:ind w:left="420" w:leftChars="200"/>
    </w:pPr>
  </w:style>
  <w:style w:type="paragraph" w:customStyle="1" w:styleId="60">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1">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2">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3">
    <w:name w:val="List Paragraph"/>
    <w:basedOn w:val="1"/>
    <w:semiHidden/>
    <w:qFormat/>
    <w:uiPriority w:val="98"/>
    <w:pPr>
      <w:ind w:firstLine="420" w:firstLineChars="200"/>
    </w:pPr>
    <w:rPr>
      <w:rFonts w:ascii="Calibri" w:hAnsi="Calibri"/>
      <w:szCs w:val="22"/>
    </w:rPr>
  </w:style>
  <w:style w:type="paragraph" w:customStyle="1" w:styleId="64">
    <w:name w:val="列出段落1"/>
    <w:basedOn w:val="1"/>
    <w:semiHidden/>
    <w:qFormat/>
    <w:uiPriority w:val="98"/>
    <w:pPr>
      <w:ind w:firstLine="420" w:firstLineChars="200"/>
    </w:pPr>
    <w:rPr>
      <w:rFonts w:ascii="Calibri" w:hAnsi="Calibri"/>
      <w:szCs w:val="22"/>
    </w:rPr>
  </w:style>
  <w:style w:type="paragraph" w:customStyle="1" w:styleId="65">
    <w:name w:val="二级列表 Char"/>
    <w:basedOn w:val="1"/>
    <w:semiHidden/>
    <w:qFormat/>
    <w:uiPriority w:val="98"/>
    <w:rPr>
      <w:rFonts w:ascii="Calibri" w:hAnsi="Calibri"/>
    </w:rPr>
  </w:style>
  <w:style w:type="paragraph" w:customStyle="1" w:styleId="66">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67">
    <w:name w:val="style61"/>
    <w:semiHidden/>
    <w:qFormat/>
    <w:uiPriority w:val="98"/>
  </w:style>
  <w:style w:type="character" w:customStyle="1" w:styleId="68">
    <w:name w:val="标题 1 字符"/>
    <w:basedOn w:val="33"/>
    <w:link w:val="2"/>
    <w:semiHidden/>
    <w:qFormat/>
    <w:uiPriority w:val="0"/>
    <w:rPr>
      <w:b/>
      <w:bCs/>
      <w:kern w:val="44"/>
      <w:sz w:val="44"/>
      <w:szCs w:val="44"/>
    </w:rPr>
  </w:style>
  <w:style w:type="paragraph" w:customStyle="1" w:styleId="69">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70">
    <w:name w:val="标题 2 字符"/>
    <w:basedOn w:val="33"/>
    <w:link w:val="3"/>
    <w:semiHidden/>
    <w:qFormat/>
    <w:uiPriority w:val="0"/>
    <w:rPr>
      <w:rFonts w:asciiTheme="majorHAnsi" w:hAnsiTheme="majorHAnsi" w:eastAsiaTheme="majorEastAsia" w:cstheme="majorBidi"/>
      <w:b/>
      <w:bCs/>
      <w:kern w:val="2"/>
      <w:sz w:val="32"/>
      <w:szCs w:val="32"/>
    </w:rPr>
  </w:style>
  <w:style w:type="character" w:customStyle="1" w:styleId="71">
    <w:name w:val="标题 字符"/>
    <w:basedOn w:val="33"/>
    <w:link w:val="28"/>
    <w:semiHidden/>
    <w:qFormat/>
    <w:uiPriority w:val="0"/>
    <w:rPr>
      <w:rFonts w:eastAsia="黑体" w:asciiTheme="majorHAnsi" w:hAnsiTheme="majorHAnsi" w:cstheme="majorBidi"/>
      <w:b/>
      <w:bCs/>
      <w:kern w:val="2"/>
      <w:sz w:val="36"/>
      <w:szCs w:val="32"/>
    </w:rPr>
  </w:style>
  <w:style w:type="paragraph" w:customStyle="1" w:styleId="72">
    <w:name w:val="章节"/>
    <w:basedOn w:val="15"/>
    <w:qFormat/>
    <w:uiPriority w:val="0"/>
    <w:pPr>
      <w:spacing w:line="360" w:lineRule="auto"/>
      <w:jc w:val="center"/>
      <w:outlineLvl w:val="0"/>
    </w:pPr>
    <w:rPr>
      <w:rFonts w:ascii="黑体" w:eastAsia="黑体"/>
      <w:b/>
      <w:bCs/>
      <w:sz w:val="36"/>
      <w:szCs w:val="36"/>
    </w:rPr>
  </w:style>
  <w:style w:type="paragraph" w:customStyle="1" w:styleId="73">
    <w:name w:val="一级标题"/>
    <w:basedOn w:val="15"/>
    <w:qFormat/>
    <w:uiPriority w:val="0"/>
    <w:pPr>
      <w:numPr>
        <w:ilvl w:val="0"/>
        <w:numId w:val="2"/>
      </w:numPr>
      <w:spacing w:line="360" w:lineRule="auto"/>
      <w:outlineLvl w:val="1"/>
    </w:pPr>
    <w:rPr>
      <w:rFonts w:ascii="黑体" w:eastAsia="黑体"/>
      <w:b/>
      <w:bCs/>
      <w:sz w:val="28"/>
    </w:rPr>
  </w:style>
  <w:style w:type="paragraph" w:customStyle="1" w:styleId="74">
    <w:name w:val="（二）级标题"/>
    <w:basedOn w:val="15"/>
    <w:qFormat/>
    <w:uiPriority w:val="2"/>
    <w:pPr>
      <w:numPr>
        <w:ilvl w:val="0"/>
        <w:numId w:val="3"/>
      </w:numPr>
      <w:spacing w:line="360" w:lineRule="auto"/>
      <w:outlineLvl w:val="2"/>
    </w:pPr>
    <w:rPr>
      <w:b/>
    </w:rPr>
  </w:style>
  <w:style w:type="paragraph" w:customStyle="1" w:styleId="75">
    <w:name w:val="3级标题"/>
    <w:basedOn w:val="15"/>
    <w:link w:val="103"/>
    <w:qFormat/>
    <w:uiPriority w:val="3"/>
    <w:pPr>
      <w:numPr>
        <w:ilvl w:val="0"/>
        <w:numId w:val="4"/>
      </w:numPr>
      <w:spacing w:line="360" w:lineRule="auto"/>
      <w:outlineLvl w:val="3"/>
    </w:pPr>
    <w:rPr>
      <w:b/>
    </w:rPr>
  </w:style>
  <w:style w:type="paragraph" w:customStyle="1" w:styleId="76">
    <w:name w:val="（4）级标题"/>
    <w:basedOn w:val="15"/>
    <w:qFormat/>
    <w:uiPriority w:val="8"/>
    <w:pPr>
      <w:numPr>
        <w:ilvl w:val="0"/>
        <w:numId w:val="5"/>
      </w:numPr>
      <w:spacing w:line="360" w:lineRule="auto"/>
      <w:outlineLvl w:val="4"/>
    </w:pPr>
  </w:style>
  <w:style w:type="paragraph" w:customStyle="1" w:styleId="77">
    <w:name w:val="标书正文"/>
    <w:basedOn w:val="15"/>
    <w:link w:val="98"/>
    <w:qFormat/>
    <w:uiPriority w:val="9"/>
    <w:pPr>
      <w:spacing w:line="360" w:lineRule="auto"/>
      <w:jc w:val="left"/>
    </w:pPr>
  </w:style>
  <w:style w:type="character" w:customStyle="1" w:styleId="78">
    <w:name w:val="标题 4 字符"/>
    <w:basedOn w:val="33"/>
    <w:link w:val="5"/>
    <w:semiHidden/>
    <w:qFormat/>
    <w:uiPriority w:val="0"/>
    <w:rPr>
      <w:rFonts w:ascii="Arial" w:hAnsi="Arial"/>
      <w:b/>
      <w:bCs/>
      <w:kern w:val="2"/>
      <w:sz w:val="21"/>
      <w:szCs w:val="28"/>
    </w:rPr>
  </w:style>
  <w:style w:type="character" w:customStyle="1" w:styleId="79">
    <w:name w:val="标题 5 字符"/>
    <w:basedOn w:val="33"/>
    <w:link w:val="6"/>
    <w:semiHidden/>
    <w:qFormat/>
    <w:uiPriority w:val="0"/>
    <w:rPr>
      <w:rFonts w:ascii="宋体" w:hAnsi="宋体"/>
      <w:bCs/>
      <w:iCs/>
      <w:color w:val="000000"/>
      <w:sz w:val="28"/>
      <w:szCs w:val="28"/>
    </w:rPr>
  </w:style>
  <w:style w:type="paragraph" w:customStyle="1" w:styleId="80">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1">
    <w:name w:val="case31"/>
    <w:qFormat/>
    <w:uiPriority w:val="0"/>
    <w:rPr>
      <w:rFonts w:hint="default" w:ascii="ˎ̥" w:hAnsi="ˎ̥"/>
      <w:sz w:val="21"/>
      <w:szCs w:val="21"/>
    </w:rPr>
  </w:style>
  <w:style w:type="character" w:customStyle="1" w:styleId="82">
    <w:name w:val="标题 2 Char"/>
    <w:qFormat/>
    <w:uiPriority w:val="0"/>
    <w:rPr>
      <w:rFonts w:ascii="宋体" w:hAnsi="宋体"/>
      <w:bCs/>
      <w:sz w:val="24"/>
      <w:szCs w:val="32"/>
    </w:rPr>
  </w:style>
  <w:style w:type="character" w:customStyle="1" w:styleId="83">
    <w:name w:val="标题 Char"/>
    <w:qFormat/>
    <w:uiPriority w:val="0"/>
    <w:rPr>
      <w:rFonts w:ascii="宋体" w:hAnsi="宋体" w:cs="Times New Roman"/>
      <w:b/>
      <w:bCs/>
      <w:sz w:val="24"/>
      <w:szCs w:val="32"/>
    </w:rPr>
  </w:style>
  <w:style w:type="character" w:customStyle="1" w:styleId="84">
    <w:name w:val="正文文本缩进 3 字符"/>
    <w:basedOn w:val="33"/>
    <w:link w:val="23"/>
    <w:semiHidden/>
    <w:qFormat/>
    <w:uiPriority w:val="0"/>
    <w:rPr>
      <w:rFonts w:ascii="宋体" w:hAnsi="宋体"/>
      <w:color w:val="FF0000"/>
      <w:kern w:val="2"/>
      <w:sz w:val="24"/>
      <w:szCs w:val="24"/>
    </w:rPr>
  </w:style>
  <w:style w:type="paragraph" w:customStyle="1" w:styleId="85">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6">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7">
    <w:name w:val="正文文本缩进 2 字符"/>
    <w:basedOn w:val="33"/>
    <w:link w:val="17"/>
    <w:semiHidden/>
    <w:qFormat/>
    <w:uiPriority w:val="0"/>
    <w:rPr>
      <w:sz w:val="24"/>
    </w:rPr>
  </w:style>
  <w:style w:type="character" w:customStyle="1" w:styleId="88">
    <w:name w:val="日期 字符"/>
    <w:basedOn w:val="33"/>
    <w:link w:val="16"/>
    <w:semiHidden/>
    <w:qFormat/>
    <w:uiPriority w:val="0"/>
    <w:rPr>
      <w:sz w:val="24"/>
    </w:rPr>
  </w:style>
  <w:style w:type="paragraph" w:customStyle="1" w:styleId="89">
    <w:name w:val="Char1 Char Char Char Char Char Char"/>
    <w:basedOn w:val="1"/>
    <w:qFormat/>
    <w:uiPriority w:val="0"/>
    <w:rPr>
      <w:rFonts w:ascii="Tahoma" w:hAnsi="Tahoma"/>
      <w:sz w:val="24"/>
    </w:rPr>
  </w:style>
  <w:style w:type="paragraph" w:customStyle="1" w:styleId="90">
    <w:name w:val="样式1"/>
    <w:basedOn w:val="1"/>
    <w:qFormat/>
    <w:uiPriority w:val="0"/>
    <w:pPr>
      <w:adjustRightInd w:val="0"/>
      <w:spacing w:line="420" w:lineRule="auto"/>
      <w:jc w:val="center"/>
      <w:textAlignment w:val="baseline"/>
    </w:pPr>
    <w:rPr>
      <w:rFonts w:ascii="宋体"/>
      <w:kern w:val="0"/>
      <w:sz w:val="24"/>
    </w:rPr>
  </w:style>
  <w:style w:type="paragraph" w:customStyle="1" w:styleId="91">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2">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3">
    <w:name w:val="文档结构图 字符"/>
    <w:basedOn w:val="33"/>
    <w:semiHidden/>
    <w:qFormat/>
    <w:uiPriority w:val="98"/>
    <w:rPr>
      <w:rFonts w:ascii="Microsoft YaHei UI" w:eastAsia="Microsoft YaHei UI"/>
      <w:kern w:val="2"/>
      <w:sz w:val="18"/>
      <w:szCs w:val="18"/>
    </w:rPr>
  </w:style>
  <w:style w:type="character" w:customStyle="1" w:styleId="94">
    <w:name w:val="文档结构图 字符1"/>
    <w:basedOn w:val="33"/>
    <w:link w:val="10"/>
    <w:semiHidden/>
    <w:qFormat/>
    <w:uiPriority w:val="0"/>
    <w:rPr>
      <w:rFonts w:ascii="宋体"/>
      <w:sz w:val="18"/>
      <w:szCs w:val="18"/>
    </w:rPr>
  </w:style>
  <w:style w:type="paragraph" w:customStyle="1" w:styleId="95">
    <w:name w:val="表格"/>
    <w:basedOn w:val="1"/>
    <w:link w:val="96"/>
    <w:qFormat/>
    <w:uiPriority w:val="10"/>
    <w:rPr>
      <w:rFonts w:ascii="宋体" w:hAnsi="宋体"/>
      <w:szCs w:val="30"/>
    </w:rPr>
  </w:style>
  <w:style w:type="character" w:customStyle="1" w:styleId="96">
    <w:name w:val="表格 字符"/>
    <w:basedOn w:val="33"/>
    <w:link w:val="95"/>
    <w:qFormat/>
    <w:uiPriority w:val="10"/>
    <w:rPr>
      <w:rFonts w:ascii="宋体" w:hAnsi="宋体"/>
      <w:kern w:val="2"/>
      <w:sz w:val="21"/>
      <w:szCs w:val="30"/>
    </w:rPr>
  </w:style>
  <w:style w:type="paragraph" w:customStyle="1" w:styleId="97">
    <w:name w:val="5）级标题"/>
    <w:basedOn w:val="77"/>
    <w:link w:val="99"/>
    <w:qFormat/>
    <w:uiPriority w:val="11"/>
    <w:pPr>
      <w:numPr>
        <w:ilvl w:val="0"/>
        <w:numId w:val="7"/>
      </w:numPr>
      <w:ind w:firstLine="0"/>
    </w:pPr>
  </w:style>
  <w:style w:type="character" w:customStyle="1" w:styleId="98">
    <w:name w:val="标书正文 字符"/>
    <w:basedOn w:val="51"/>
    <w:link w:val="77"/>
    <w:qFormat/>
    <w:uiPriority w:val="9"/>
    <w:rPr>
      <w:rFonts w:ascii="宋体" w:hAnsi="Courier New"/>
      <w:kern w:val="2"/>
      <w:sz w:val="21"/>
    </w:rPr>
  </w:style>
  <w:style w:type="character" w:customStyle="1" w:styleId="99">
    <w:name w:val="5）级标题 字符"/>
    <w:basedOn w:val="98"/>
    <w:link w:val="97"/>
    <w:qFormat/>
    <w:uiPriority w:val="11"/>
    <w:rPr>
      <w:rFonts w:ascii="宋体" w:hAnsi="Courier New"/>
      <w:kern w:val="2"/>
      <w:sz w:val="21"/>
    </w:rPr>
  </w:style>
  <w:style w:type="paragraph" w:customStyle="1" w:styleId="100">
    <w:name w:val="样式 标题 4 + 段前: 5 磅 段后: 5 磅 行距: 单倍行距"/>
    <w:next w:val="24"/>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1">
    <w:name w:val="不明显强调1"/>
    <w:basedOn w:val="33"/>
    <w:qFormat/>
    <w:uiPriority w:val="19"/>
    <w:rPr>
      <w:rFonts w:eastAsia="宋体"/>
      <w:i/>
      <w:iCs/>
      <w:color w:val="auto"/>
      <w:sz w:val="21"/>
    </w:rPr>
  </w:style>
  <w:style w:type="paragraph" w:customStyle="1" w:styleId="102">
    <w:name w:val="⑥级标题"/>
    <w:basedOn w:val="75"/>
    <w:link w:val="104"/>
    <w:qFormat/>
    <w:uiPriority w:val="12"/>
    <w:pPr>
      <w:numPr>
        <w:numId w:val="8"/>
      </w:numPr>
    </w:pPr>
  </w:style>
  <w:style w:type="character" w:customStyle="1" w:styleId="103">
    <w:name w:val="3级标题 字符"/>
    <w:basedOn w:val="51"/>
    <w:link w:val="75"/>
    <w:qFormat/>
    <w:uiPriority w:val="3"/>
    <w:rPr>
      <w:rFonts w:ascii="宋体" w:hAnsi="Courier New"/>
      <w:b/>
      <w:kern w:val="2"/>
      <w:sz w:val="21"/>
    </w:rPr>
  </w:style>
  <w:style w:type="character" w:customStyle="1" w:styleId="104">
    <w:name w:val="⑥级标题 字符"/>
    <w:basedOn w:val="103"/>
    <w:link w:val="102"/>
    <w:qFormat/>
    <w:uiPriority w:val="12"/>
    <w:rPr>
      <w:rFonts w:ascii="宋体" w:hAnsi="Courier New"/>
      <w:kern w:val="2"/>
      <w:sz w:val="21"/>
    </w:rPr>
  </w:style>
  <w:style w:type="character" w:customStyle="1" w:styleId="105">
    <w:name w:val="电子邮件签名 字符"/>
    <w:link w:val="7"/>
    <w:semiHidden/>
    <w:qFormat/>
    <w:locked/>
    <w:uiPriority w:val="99"/>
    <w:rPr>
      <w:sz w:val="21"/>
      <w:szCs w:val="21"/>
    </w:rPr>
  </w:style>
  <w:style w:type="character" w:customStyle="1" w:styleId="106">
    <w:name w:val="电子邮件签名 字符1"/>
    <w:basedOn w:val="33"/>
    <w:semiHidden/>
    <w:qFormat/>
    <w:uiPriority w:val="98"/>
    <w:rPr>
      <w:rFonts w:ascii="Times New Roman" w:hAnsi="Times New Roman"/>
      <w:kern w:val="2"/>
      <w:sz w:val="21"/>
    </w:rPr>
  </w:style>
  <w:style w:type="character" w:customStyle="1" w:styleId="107">
    <w:name w:val="HR正文 Char"/>
    <w:link w:val="108"/>
    <w:qFormat/>
    <w:uiPriority w:val="0"/>
    <w:rPr>
      <w:kern w:val="2"/>
      <w:sz w:val="24"/>
      <w:szCs w:val="24"/>
    </w:rPr>
  </w:style>
  <w:style w:type="paragraph" w:customStyle="1" w:styleId="108">
    <w:name w:val="HR正文"/>
    <w:basedOn w:val="1"/>
    <w:link w:val="107"/>
    <w:qFormat/>
    <w:uiPriority w:val="0"/>
    <w:pPr>
      <w:spacing w:line="300" w:lineRule="auto"/>
      <w:ind w:firstLine="200" w:firstLineChars="200"/>
    </w:pPr>
    <w:rPr>
      <w:rFonts w:ascii="Calibri" w:hAnsi="Calibri"/>
      <w:sz w:val="24"/>
      <w:szCs w:val="24"/>
    </w:rPr>
  </w:style>
  <w:style w:type="character" w:customStyle="1" w:styleId="109">
    <w:name w:val="信息标题 字符"/>
    <w:link w:val="26"/>
    <w:semiHidden/>
    <w:qFormat/>
    <w:locked/>
    <w:uiPriority w:val="99"/>
    <w:rPr>
      <w:rFonts w:ascii="Cambria" w:hAnsi="Cambria" w:cs="Cambria"/>
      <w:sz w:val="24"/>
      <w:szCs w:val="24"/>
      <w:shd w:val="pct20" w:color="auto" w:fill="auto"/>
    </w:rPr>
  </w:style>
  <w:style w:type="character" w:customStyle="1" w:styleId="110">
    <w:name w:val="信息标题 字符1"/>
    <w:basedOn w:val="33"/>
    <w:semiHidden/>
    <w:qFormat/>
    <w:uiPriority w:val="98"/>
    <w:rPr>
      <w:rFonts w:asciiTheme="majorHAnsi" w:hAnsiTheme="majorHAnsi" w:eastAsiaTheme="majorEastAsia" w:cstheme="majorBidi"/>
      <w:kern w:val="2"/>
      <w:sz w:val="24"/>
      <w:szCs w:val="24"/>
      <w:shd w:val="pct20" w:color="auto" w:fill="auto"/>
    </w:rPr>
  </w:style>
  <w:style w:type="character" w:customStyle="1" w:styleId="111">
    <w:name w:val="页眉 Char1"/>
    <w:semiHidden/>
    <w:qFormat/>
    <w:locked/>
    <w:uiPriority w:val="0"/>
    <w:rPr>
      <w:rFonts w:ascii="Calibri" w:hAnsi="Calibri"/>
      <w:sz w:val="18"/>
      <w:szCs w:val="18"/>
    </w:rPr>
  </w:style>
  <w:style w:type="paragraph" w:customStyle="1" w:styleId="112">
    <w:name w:val="标书正文格式"/>
    <w:basedOn w:val="15"/>
    <w:link w:val="113"/>
    <w:qFormat/>
    <w:uiPriority w:val="0"/>
    <w:pPr>
      <w:spacing w:line="360" w:lineRule="auto"/>
      <w:ind w:firstLine="200" w:firstLineChars="200"/>
    </w:pPr>
    <w:rPr>
      <w:rFonts w:hAnsi="宋体" w:cstheme="minorBidi"/>
      <w:color w:val="000000"/>
      <w:sz w:val="24"/>
      <w:szCs w:val="24"/>
    </w:rPr>
  </w:style>
  <w:style w:type="character" w:customStyle="1" w:styleId="113">
    <w:name w:val="标书正文格式 字符"/>
    <w:link w:val="112"/>
    <w:qFormat/>
    <w:uiPriority w:val="0"/>
    <w:rPr>
      <w:rFonts w:ascii="宋体" w:hAnsi="宋体" w:cstheme="minorBidi"/>
      <w:color w:val="000000"/>
      <w:kern w:val="2"/>
      <w:sz w:val="24"/>
      <w:szCs w:val="24"/>
    </w:rPr>
  </w:style>
  <w:style w:type="paragraph" w:customStyle="1" w:styleId="114">
    <w:name w:val="标正文"/>
    <w:basedOn w:val="1"/>
    <w:link w:val="115"/>
    <w:qFormat/>
    <w:uiPriority w:val="0"/>
    <w:pPr>
      <w:spacing w:line="360" w:lineRule="auto"/>
      <w:ind w:firstLine="200" w:firstLineChars="200"/>
    </w:pPr>
    <w:rPr>
      <w:rFonts w:ascii="宋体" w:hAnsi="宋体" w:cstheme="minorBidi"/>
      <w:color w:val="000000"/>
      <w:sz w:val="24"/>
      <w:szCs w:val="24"/>
    </w:rPr>
  </w:style>
  <w:style w:type="character" w:customStyle="1" w:styleId="115">
    <w:name w:val="标正文 字符"/>
    <w:link w:val="114"/>
    <w:qFormat/>
    <w:uiPriority w:val="0"/>
    <w:rPr>
      <w:rFonts w:ascii="宋体" w:hAnsi="宋体" w:cstheme="minorBidi"/>
      <w:color w:val="000000"/>
      <w:kern w:val="2"/>
      <w:sz w:val="24"/>
      <w:szCs w:val="24"/>
    </w:rPr>
  </w:style>
  <w:style w:type="paragraph" w:customStyle="1" w:styleId="116">
    <w:name w:val="标书表格"/>
    <w:basedOn w:val="1"/>
    <w:link w:val="117"/>
    <w:qFormat/>
    <w:uiPriority w:val="0"/>
    <w:rPr>
      <w:b/>
    </w:rPr>
  </w:style>
  <w:style w:type="character" w:customStyle="1" w:styleId="117">
    <w:name w:val="标书表格 字符"/>
    <w:link w:val="116"/>
    <w:qFormat/>
    <w:uiPriority w:val="0"/>
    <w:rPr>
      <w:b/>
      <w:kern w:val="2"/>
      <w:sz w:val="21"/>
    </w:rPr>
  </w:style>
  <w:style w:type="paragraph" w:customStyle="1" w:styleId="118">
    <w:name w:val="标书三级标题"/>
    <w:basedOn w:val="4"/>
    <w:link w:val="119"/>
    <w:qFormat/>
    <w:uiPriority w:val="0"/>
    <w:pPr>
      <w:spacing w:line="240" w:lineRule="auto"/>
      <w:ind w:firstLine="482" w:firstLineChars="200"/>
    </w:pPr>
    <w:rPr>
      <w:color w:val="000000"/>
      <w:sz w:val="24"/>
      <w:szCs w:val="24"/>
    </w:rPr>
  </w:style>
  <w:style w:type="character" w:customStyle="1" w:styleId="119">
    <w:name w:val="标书三级标题 字符"/>
    <w:link w:val="118"/>
    <w:qFormat/>
    <w:uiPriority w:val="0"/>
    <w:rPr>
      <w:b/>
      <w:bCs/>
      <w:color w:val="000000"/>
      <w:kern w:val="2"/>
      <w:sz w:val="24"/>
      <w:szCs w:val="24"/>
    </w:rPr>
  </w:style>
  <w:style w:type="paragraph" w:customStyle="1" w:styleId="120">
    <w:name w:val="Normal + Centered"/>
    <w:basedOn w:val="1"/>
    <w:qFormat/>
    <w:uiPriority w:val="0"/>
    <w:pPr>
      <w:widowControl/>
      <w:jc w:val="center"/>
    </w:pPr>
    <w:rPr>
      <w:rFonts w:asciiTheme="minorHAnsi" w:hAnsiTheme="minorHAnsi" w:eastAsiaTheme="minorEastAsia" w:cstheme="minorBidi"/>
      <w:kern w:val="0"/>
      <w:sz w:val="24"/>
      <w:szCs w:val="22"/>
    </w:rPr>
  </w:style>
  <w:style w:type="paragraph" w:customStyle="1" w:styleId="121">
    <w:name w:val="标书二级标题"/>
    <w:basedOn w:val="3"/>
    <w:link w:val="122"/>
    <w:qFormat/>
    <w:uiPriority w:val="0"/>
    <w:pPr>
      <w:spacing w:before="0" w:after="0" w:line="240" w:lineRule="auto"/>
      <w:jc w:val="left"/>
    </w:pPr>
    <w:rPr>
      <w:rFonts w:ascii="宋体" w:hAnsi="宋体" w:eastAsia="黑体" w:cs="Times New Roman"/>
      <w:b w:val="0"/>
      <w:sz w:val="28"/>
      <w:szCs w:val="30"/>
    </w:rPr>
  </w:style>
  <w:style w:type="character" w:customStyle="1" w:styleId="122">
    <w:name w:val="标书二级标题 字符"/>
    <w:link w:val="121"/>
    <w:qFormat/>
    <w:uiPriority w:val="0"/>
    <w:rPr>
      <w:rFonts w:ascii="宋体" w:hAnsi="宋体" w:eastAsia="黑体"/>
      <w:bCs/>
      <w:kern w:val="2"/>
      <w:sz w:val="28"/>
      <w:szCs w:val="30"/>
    </w:rPr>
  </w:style>
  <w:style w:type="paragraph" w:customStyle="1" w:styleId="123">
    <w:name w:val="标书一级标题"/>
    <w:basedOn w:val="2"/>
    <w:link w:val="124"/>
    <w:qFormat/>
    <w:uiPriority w:val="0"/>
    <w:pPr>
      <w:spacing w:before="0" w:after="0" w:line="240" w:lineRule="auto"/>
      <w:jc w:val="center"/>
    </w:pPr>
    <w:rPr>
      <w:rFonts w:eastAsia="黑体"/>
      <w:b w:val="0"/>
      <w:color w:val="000000"/>
      <w:sz w:val="30"/>
      <w:szCs w:val="24"/>
    </w:rPr>
  </w:style>
  <w:style w:type="character" w:customStyle="1" w:styleId="124">
    <w:name w:val="标书一级标题 字符"/>
    <w:link w:val="123"/>
    <w:qFormat/>
    <w:uiPriority w:val="0"/>
    <w:rPr>
      <w:rFonts w:eastAsia="黑体"/>
      <w:bCs/>
      <w:color w:val="000000"/>
      <w:kern w:val="44"/>
      <w:sz w:val="30"/>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numbering" Target="numbering.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068AA-E0A8-4B72-BC02-F772290675A6}">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42</Pages>
  <Words>8243</Words>
  <Characters>8785</Characters>
  <Lines>150</Lines>
  <Paragraphs>42</Paragraphs>
  <TotalTime>1</TotalTime>
  <ScaleCrop>false</ScaleCrop>
  <LinksUpToDate>false</LinksUpToDate>
  <CharactersWithSpaces>8855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张晓庆</cp:lastModifiedBy>
  <cp:lastPrinted>2020-06-28T02:28:00Z</cp:lastPrinted>
  <dcterms:modified xsi:type="dcterms:W3CDTF">2026-10-10T08:26:54Z</dcterms:modified>
  <cp:revision>176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C4E667CF26604F52AD561790FE42A8A8_13</vt:lpwstr>
  </property>
  <property fmtid="{D5CDD505-2E9C-101B-9397-08002B2CF9AE}" pid="4" name="KSOTemplateDocerSaveRecord">
    <vt:lpwstr>eyJoZGlkIjoiMWVhNDhmMDMxNGM3ODM1MjU3M2FlOGVlOWQyZjc3NmYiLCJ1c2VySWQiOiIxNzY1MTkzNjY1In0=</vt:lpwstr>
  </property>
</Properties>
</file>